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W w:w="9360"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9338"/>
        <w:gridCol w:w="22"/>
      </w:tblGrid>
      <w:tr w:rsidR="00495757" w:rsidTr="008E5101">
        <w:trPr>
          <w:gridAfter w:val="1"/>
          <w:wAfter w:w="22" w:type="dxa"/>
          <w:trHeight w:val="720"/>
        </w:trPr>
        <w:tc>
          <w:tcPr>
            <w:tcW w:w="9338" w:type="dxa"/>
            <w:shd w:val="clear" w:color="auto" w:fill="D0CECE" w:themeFill="background2" w:themeFillShade="E6"/>
            <w:vAlign w:val="center"/>
          </w:tcPr>
          <w:p w:rsidR="00495757" w:rsidRDefault="001E698F">
            <w:pPr>
              <w:jc w:val="center"/>
              <w:rPr>
                <w:rFonts w:ascii="Times New Roman" w:eastAsia="Times New Roman" w:hAnsi="Times New Roman" w:cs="Times New Roman"/>
                <w:b/>
              </w:rPr>
            </w:pPr>
            <w:r w:rsidRPr="001E698F">
              <w:rPr>
                <w:rFonts w:ascii="Times New Roman" w:eastAsia="Times New Roman" w:hAnsi="Times New Roman" w:cs="Times New Roman"/>
                <w:b/>
              </w:rPr>
              <w:t>KEPENTINGAN DAN PERANAN PENDIDIKAN SEJARAH DALAM MEMBINA ETOS BANGSA GENERASI MUDA DI MALAYSIA</w:t>
            </w:r>
          </w:p>
        </w:tc>
      </w:tr>
      <w:tr w:rsidR="00495757">
        <w:trPr>
          <w:trHeight w:val="1152"/>
        </w:trPr>
        <w:tc>
          <w:tcPr>
            <w:tcW w:w="9360" w:type="dxa"/>
            <w:gridSpan w:val="2"/>
            <w:vAlign w:val="center"/>
          </w:tcPr>
          <w:p w:rsidR="00446F13" w:rsidRPr="00D67E9D" w:rsidRDefault="00446F13" w:rsidP="00446F13">
            <w:pPr>
              <w:jc w:val="center"/>
              <w:rPr>
                <w:rFonts w:ascii="Times New Roman" w:eastAsia="Times New Roman" w:hAnsi="Times New Roman" w:cs="Times New Roman"/>
              </w:rPr>
            </w:pPr>
            <w:r w:rsidRPr="00D67E9D">
              <w:rPr>
                <w:rFonts w:ascii="Times New Roman" w:eastAsia="Times New Roman" w:hAnsi="Times New Roman" w:cs="Times New Roman"/>
              </w:rPr>
              <w:t>Tarshni Vadivelu , Mohd Mahzan Awang , Anuar Ahmad</w:t>
            </w:r>
          </w:p>
          <w:p w:rsidR="00446F13" w:rsidRPr="00D67E9D" w:rsidRDefault="00446F13" w:rsidP="00446F13">
            <w:pPr>
              <w:jc w:val="center"/>
              <w:rPr>
                <w:rFonts w:ascii="Times New Roman" w:eastAsia="Times New Roman" w:hAnsi="Times New Roman" w:cs="Times New Roman"/>
              </w:rPr>
            </w:pPr>
            <w:r w:rsidRPr="00D67E9D">
              <w:rPr>
                <w:rFonts w:ascii="Times New Roman" w:eastAsia="Times New Roman" w:hAnsi="Times New Roman" w:cs="Times New Roman"/>
              </w:rPr>
              <w:t xml:space="preserve">Universiti Kebangsaan Malaysia,Bangi </w:t>
            </w:r>
          </w:p>
          <w:p w:rsidR="00495757" w:rsidRDefault="00495757">
            <w:pPr>
              <w:jc w:val="center"/>
            </w:pPr>
          </w:p>
          <w:tbl>
            <w:tblPr>
              <w:tblStyle w:val="a0"/>
              <w:tblW w:w="9360" w:type="dxa"/>
              <w:tblLayout w:type="fixed"/>
              <w:tblLook w:val="0400" w:firstRow="0" w:lastRow="0" w:firstColumn="0" w:lastColumn="0" w:noHBand="0" w:noVBand="1"/>
            </w:tblPr>
            <w:tblGrid>
              <w:gridCol w:w="2906"/>
              <w:gridCol w:w="262"/>
              <w:gridCol w:w="6192"/>
            </w:tblGrid>
            <w:tr w:rsidR="00495757">
              <w:tc>
                <w:tcPr>
                  <w:tcW w:w="2906" w:type="dxa"/>
                  <w:tcBorders>
                    <w:top w:val="single" w:sz="6" w:space="0" w:color="000000"/>
                    <w:bottom w:val="single" w:sz="6" w:space="0" w:color="000000"/>
                  </w:tcBorders>
                  <w:shd w:val="clear" w:color="auto" w:fill="auto"/>
                </w:tcPr>
                <w:p w:rsidR="00495757" w:rsidRDefault="00D67E9D">
                  <w:pPr>
                    <w:spacing w:before="120" w:after="60" w:line="200" w:lineRule="auto"/>
                    <w:rPr>
                      <w:rFonts w:ascii="Times New Roman" w:eastAsia="Times New Roman" w:hAnsi="Times New Roman" w:cs="Times New Roman"/>
                    </w:rPr>
                  </w:pPr>
                  <w:r>
                    <w:rPr>
                      <w:rFonts w:ascii="Times New Roman" w:eastAsia="Times New Roman" w:hAnsi="Times New Roman" w:cs="Times New Roman"/>
                    </w:rPr>
                    <w:t>ARTICLE INFO</w:t>
                  </w:r>
                </w:p>
              </w:tc>
              <w:tc>
                <w:tcPr>
                  <w:tcW w:w="262" w:type="dxa"/>
                  <w:tcBorders>
                    <w:top w:val="single" w:sz="6" w:space="0" w:color="000000"/>
                  </w:tcBorders>
                  <w:shd w:val="clear" w:color="auto" w:fill="auto"/>
                </w:tcPr>
                <w:p w:rsidR="00495757" w:rsidRDefault="00495757">
                  <w:pPr>
                    <w:spacing w:before="120" w:after="60" w:line="200" w:lineRule="auto"/>
                    <w:rPr>
                      <w:rFonts w:ascii="Times New Roman" w:eastAsia="Times New Roman" w:hAnsi="Times New Roman" w:cs="Times New Roman"/>
                    </w:rPr>
                  </w:pPr>
                </w:p>
              </w:tc>
              <w:tc>
                <w:tcPr>
                  <w:tcW w:w="6192" w:type="dxa"/>
                  <w:tcBorders>
                    <w:top w:val="single" w:sz="6" w:space="0" w:color="000000"/>
                    <w:bottom w:val="single" w:sz="6" w:space="0" w:color="000000"/>
                  </w:tcBorders>
                  <w:shd w:val="clear" w:color="auto" w:fill="auto"/>
                </w:tcPr>
                <w:p w:rsidR="00495757" w:rsidRDefault="00565BBC" w:rsidP="005C74A8">
                  <w:pPr>
                    <w:spacing w:before="120" w:after="60" w:line="200" w:lineRule="auto"/>
                    <w:rPr>
                      <w:rFonts w:ascii="Times New Roman" w:eastAsia="Times New Roman" w:hAnsi="Times New Roman" w:cs="Times New Roman"/>
                    </w:rPr>
                  </w:pPr>
                  <w:r>
                    <w:rPr>
                      <w:rFonts w:ascii="Times New Roman" w:eastAsia="Times New Roman" w:hAnsi="Times New Roman" w:cs="Times New Roman"/>
                    </w:rPr>
                    <w:t>ABSTRA</w:t>
                  </w:r>
                  <w:r w:rsidR="00D67E9D">
                    <w:rPr>
                      <w:rFonts w:ascii="Times New Roman" w:eastAsia="Times New Roman" w:hAnsi="Times New Roman" w:cs="Times New Roman"/>
                    </w:rPr>
                    <w:t>CT</w:t>
                  </w:r>
                </w:p>
              </w:tc>
            </w:tr>
            <w:tr w:rsidR="00446F13">
              <w:tc>
                <w:tcPr>
                  <w:tcW w:w="2906" w:type="dxa"/>
                  <w:tcBorders>
                    <w:top w:val="single" w:sz="6" w:space="0" w:color="000000"/>
                    <w:bottom w:val="single" w:sz="6" w:space="0" w:color="000000"/>
                  </w:tcBorders>
                  <w:shd w:val="clear" w:color="auto" w:fill="auto"/>
                  <w:tcMar>
                    <w:top w:w="72" w:type="dxa"/>
                    <w:left w:w="115" w:type="dxa"/>
                    <w:right w:w="115" w:type="dxa"/>
                  </w:tcMar>
                </w:tcPr>
                <w:p w:rsidR="00446F13" w:rsidRPr="007C2190" w:rsidRDefault="00446F13" w:rsidP="00446F13">
                  <w:pPr>
                    <w:spacing w:line="200" w:lineRule="auto"/>
                    <w:rPr>
                      <w:rFonts w:ascii="Times New Roman" w:eastAsia="Times New Roman" w:hAnsi="Times New Roman" w:cs="Times New Roman"/>
                      <w:sz w:val="20"/>
                      <w:szCs w:val="18"/>
                    </w:rPr>
                  </w:pPr>
                  <w:r w:rsidRPr="007C2190">
                    <w:rPr>
                      <w:rFonts w:ascii="Times New Roman" w:eastAsia="Times New Roman" w:hAnsi="Times New Roman" w:cs="Times New Roman"/>
                      <w:i/>
                      <w:sz w:val="20"/>
                      <w:szCs w:val="18"/>
                    </w:rPr>
                    <w:t>Article history:</w:t>
                  </w:r>
                </w:p>
                <w:p w:rsidR="00446F13" w:rsidRPr="00ED2204" w:rsidRDefault="00446F13" w:rsidP="00446F13">
                  <w:pPr>
                    <w:spacing w:before="240" w:line="200" w:lineRule="auto"/>
                    <w:rPr>
                      <w:rFonts w:ascii="Times New Roman" w:eastAsia="Times New Roman" w:hAnsi="Times New Roman" w:cs="Times New Roman"/>
                      <w:color w:val="FF0000"/>
                      <w:sz w:val="20"/>
                      <w:szCs w:val="18"/>
                    </w:rPr>
                  </w:pPr>
                  <w:r w:rsidRPr="00ED2204">
                    <w:rPr>
                      <w:rFonts w:ascii="Times New Roman" w:eastAsia="Times New Roman" w:hAnsi="Times New Roman" w:cs="Times New Roman"/>
                      <w:color w:val="FF0000"/>
                      <w:sz w:val="20"/>
                      <w:szCs w:val="18"/>
                    </w:rPr>
                    <w:t>Received 12 September 2024</w:t>
                  </w:r>
                </w:p>
                <w:p w:rsidR="00446F13" w:rsidRPr="00ED2204" w:rsidRDefault="00446F13" w:rsidP="00446F13">
                  <w:pPr>
                    <w:spacing w:before="240" w:line="200" w:lineRule="auto"/>
                    <w:rPr>
                      <w:rFonts w:ascii="Times New Roman" w:eastAsia="Times New Roman" w:hAnsi="Times New Roman" w:cs="Times New Roman"/>
                      <w:color w:val="FF0000"/>
                      <w:sz w:val="20"/>
                      <w:szCs w:val="18"/>
                    </w:rPr>
                  </w:pPr>
                  <w:r w:rsidRPr="00ED2204">
                    <w:rPr>
                      <w:rFonts w:ascii="Times New Roman" w:eastAsia="Times New Roman" w:hAnsi="Times New Roman" w:cs="Times New Roman"/>
                      <w:color w:val="FF0000"/>
                      <w:sz w:val="20"/>
                      <w:szCs w:val="18"/>
                    </w:rPr>
                    <w:t>Accepted 25 September 2024</w:t>
                  </w:r>
                </w:p>
                <w:p w:rsidR="00446F13" w:rsidRPr="00ED2204" w:rsidRDefault="00446F13" w:rsidP="00446F13">
                  <w:pPr>
                    <w:spacing w:before="240" w:line="200" w:lineRule="auto"/>
                    <w:rPr>
                      <w:rFonts w:ascii="Times New Roman" w:eastAsia="Times New Roman" w:hAnsi="Times New Roman" w:cs="Times New Roman"/>
                      <w:color w:val="FF0000"/>
                      <w:sz w:val="20"/>
                      <w:szCs w:val="18"/>
                    </w:rPr>
                  </w:pPr>
                  <w:r w:rsidRPr="00ED2204">
                    <w:rPr>
                      <w:rFonts w:ascii="Times New Roman" w:eastAsia="Times New Roman" w:hAnsi="Times New Roman" w:cs="Times New Roman"/>
                      <w:color w:val="FF0000"/>
                      <w:sz w:val="20"/>
                      <w:szCs w:val="18"/>
                    </w:rPr>
                    <w:t>Published 15 November 2024</w:t>
                  </w:r>
                </w:p>
                <w:p w:rsidR="00446F13" w:rsidRDefault="00446F13" w:rsidP="00446F13">
                  <w:pPr>
                    <w:spacing w:line="200" w:lineRule="auto"/>
                    <w:rPr>
                      <w:rFonts w:ascii="Times New Roman" w:eastAsia="Times New Roman" w:hAnsi="Times New Roman" w:cs="Times New Roman"/>
                    </w:rPr>
                  </w:pPr>
                </w:p>
              </w:tc>
              <w:tc>
                <w:tcPr>
                  <w:tcW w:w="262" w:type="dxa"/>
                  <w:shd w:val="clear" w:color="auto" w:fill="auto"/>
                </w:tcPr>
                <w:p w:rsidR="00446F13" w:rsidRDefault="00446F13" w:rsidP="00446F13">
                  <w:pPr>
                    <w:spacing w:line="200" w:lineRule="auto"/>
                    <w:rPr>
                      <w:rFonts w:ascii="Times New Roman" w:eastAsia="Times New Roman" w:hAnsi="Times New Roman" w:cs="Times New Roman"/>
                    </w:rPr>
                  </w:pPr>
                </w:p>
              </w:tc>
              <w:tc>
                <w:tcPr>
                  <w:tcW w:w="6192" w:type="dxa"/>
                  <w:vMerge w:val="restart"/>
                  <w:tcBorders>
                    <w:top w:val="single" w:sz="6" w:space="0" w:color="000000"/>
                  </w:tcBorders>
                  <w:shd w:val="clear" w:color="auto" w:fill="auto"/>
                </w:tcPr>
                <w:p w:rsidR="00446F13" w:rsidRPr="00446F13" w:rsidRDefault="00446F13" w:rsidP="00446F13">
                  <w:pPr>
                    <w:jc w:val="both"/>
                    <w:rPr>
                      <w:rFonts w:ascii="Times New Roman" w:eastAsia="Times New Roman" w:hAnsi="Times New Roman" w:cs="Times New Roman"/>
                      <w:b/>
                      <w:sz w:val="20"/>
                      <w:szCs w:val="20"/>
                    </w:rPr>
                  </w:pPr>
                  <w:r w:rsidRPr="00446F13">
                    <w:rPr>
                      <w:rFonts w:ascii="Times New Roman" w:eastAsia="Times New Roman" w:hAnsi="Times New Roman" w:cs="Times New Roman"/>
                      <w:sz w:val="20"/>
                      <w:szCs w:val="20"/>
                    </w:rPr>
                    <w:t>Kajian ini meneliti peranan pendidikan</w:t>
                  </w:r>
                  <w:r w:rsidRPr="00446F13">
                    <w:rPr>
                      <w:rFonts w:ascii="Times New Roman" w:eastAsia="Times New Roman" w:hAnsi="Times New Roman" w:cs="Times New Roman"/>
                      <w:b/>
                      <w:sz w:val="20"/>
                      <w:szCs w:val="20"/>
                    </w:rPr>
                    <w:t xml:space="preserve"> </w:t>
                  </w:r>
                  <w:r w:rsidRPr="00446F13">
                    <w:rPr>
                      <w:rFonts w:ascii="Times New Roman" w:eastAsia="Times New Roman" w:hAnsi="Times New Roman" w:cs="Times New Roman"/>
                      <w:sz w:val="20"/>
                      <w:szCs w:val="20"/>
                    </w:rPr>
                    <w:t>sejarah dalam membentuk etos kebangsaan di Malaysia. Pendidikan sejarah di Malaysia bertujuan untuk menyemai rasa bangga terhadap warisan budaya yang kaya dan menggalakkan perpaduan nasional dalam kalangan pelajar. Melalui kurikulum yang berstruktur, pendidikan sejarah bukan sahaja menyampaikan pengetahuan tentang peristiwa silam tetapi juga membentuk identiti, nilai, dan pemahaman tentang perpaduan dan kepelbagaian budaya. Walau bagaimanapun, sistem pendidikan menghadapi cabaran seperti bias dalam kandungan kurikulum, akses yang tidak sama rata kepada sumber pendidikan, dan keperluan untuk menyesuaikan diri dengan perubahan global dan teknologi. Tambahan pula, peranan media dan teknologi dalam menyampaikan naratif sejarah turut memberikan kesan yang besar, dengan platform digital dan media sosial menjadi alat penting dalam pembentukan dan penyebaran naratif sejarah. Etika dan ketulenan dalam representasi sejarah kekal sebagai isu penting, menuntut literasi digital dan sejarah yang kukuh untuk memastikan penglibatan yang bermaklumat dan bertanggungjawab. Kajian ini menekankan kepentingan pendidikan sejarah dalam membina masyarakat yang inklusif dan harmoni, serta mencadangkan keperluan untuk inovasi berterusan dalam pendekatan pengajaran sejarah bagi memenuhi keperluan dunia yang semakin kompleks dan saling berkaitan.</w:t>
                  </w:r>
                </w:p>
              </w:tc>
            </w:tr>
            <w:tr w:rsidR="00446F13">
              <w:tc>
                <w:tcPr>
                  <w:tcW w:w="2906" w:type="dxa"/>
                  <w:tcBorders>
                    <w:top w:val="single" w:sz="6" w:space="0" w:color="000000"/>
                    <w:bottom w:val="single" w:sz="6" w:space="0" w:color="000000"/>
                  </w:tcBorders>
                  <w:shd w:val="clear" w:color="auto" w:fill="auto"/>
                  <w:tcMar>
                    <w:top w:w="72" w:type="dxa"/>
                    <w:left w:w="115" w:type="dxa"/>
                    <w:right w:w="115" w:type="dxa"/>
                  </w:tcMar>
                </w:tcPr>
                <w:p w:rsidR="00446F13" w:rsidRPr="008E5101" w:rsidRDefault="00446F13" w:rsidP="00446F13">
                  <w:pPr>
                    <w:spacing w:line="200" w:lineRule="auto"/>
                    <w:rPr>
                      <w:rFonts w:ascii="Times New Roman" w:eastAsia="Times New Roman" w:hAnsi="Times New Roman" w:cs="Times New Roman"/>
                      <w:sz w:val="20"/>
                      <w:szCs w:val="20"/>
                    </w:rPr>
                  </w:pPr>
                  <w:r w:rsidRPr="008E5101">
                    <w:rPr>
                      <w:rFonts w:ascii="Times New Roman" w:eastAsia="Times New Roman" w:hAnsi="Times New Roman" w:cs="Times New Roman"/>
                      <w:i/>
                      <w:sz w:val="20"/>
                      <w:szCs w:val="20"/>
                    </w:rPr>
                    <w:t>Keywords:</w:t>
                  </w:r>
                </w:p>
                <w:p w:rsidR="00446F13" w:rsidRPr="00446F13" w:rsidRDefault="00446F13" w:rsidP="00446F13">
                  <w:pPr>
                    <w:spacing w:before="240" w:line="200" w:lineRule="auto"/>
                    <w:rPr>
                      <w:rFonts w:ascii="Times New Roman" w:eastAsia="Times New Roman" w:hAnsi="Times New Roman" w:cs="Times New Roman"/>
                      <w:sz w:val="20"/>
                      <w:szCs w:val="20"/>
                    </w:rPr>
                  </w:pPr>
                  <w:r w:rsidRPr="00446F13">
                    <w:rPr>
                      <w:rFonts w:ascii="Times New Roman" w:eastAsia="Times New Roman" w:hAnsi="Times New Roman" w:cs="Times New Roman"/>
                      <w:sz w:val="20"/>
                      <w:szCs w:val="20"/>
                    </w:rPr>
                    <w:t>ETOS</w:t>
                  </w:r>
                </w:p>
                <w:p w:rsidR="00446F13" w:rsidRPr="00446F13" w:rsidRDefault="00446F13" w:rsidP="00446F13">
                  <w:pPr>
                    <w:spacing w:before="240" w:line="200" w:lineRule="auto"/>
                    <w:rPr>
                      <w:rFonts w:ascii="Times New Roman" w:eastAsia="Times New Roman" w:hAnsi="Times New Roman" w:cs="Times New Roman"/>
                      <w:sz w:val="20"/>
                      <w:szCs w:val="20"/>
                    </w:rPr>
                  </w:pPr>
                  <w:r w:rsidRPr="00446F13">
                    <w:rPr>
                      <w:rFonts w:ascii="Times New Roman" w:eastAsia="Times New Roman" w:hAnsi="Times New Roman" w:cs="Times New Roman"/>
                      <w:sz w:val="20"/>
                      <w:szCs w:val="20"/>
                    </w:rPr>
                    <w:t>Bangsa</w:t>
                  </w:r>
                </w:p>
                <w:p w:rsidR="00446F13" w:rsidRDefault="00446F13" w:rsidP="00446F13">
                  <w:pPr>
                    <w:spacing w:before="240" w:line="200" w:lineRule="auto"/>
                    <w:rPr>
                      <w:rFonts w:ascii="Times New Roman" w:eastAsia="Times New Roman" w:hAnsi="Times New Roman" w:cs="Times New Roman"/>
                      <w:sz w:val="20"/>
                      <w:szCs w:val="20"/>
                    </w:rPr>
                  </w:pPr>
                  <w:r w:rsidRPr="00446F13">
                    <w:rPr>
                      <w:rFonts w:ascii="Times New Roman" w:eastAsia="Times New Roman" w:hAnsi="Times New Roman" w:cs="Times New Roman"/>
                      <w:sz w:val="20"/>
                      <w:szCs w:val="20"/>
                    </w:rPr>
                    <w:t>Generasi Muda</w:t>
                  </w:r>
                </w:p>
                <w:p w:rsidR="00D67E9D" w:rsidRDefault="00D67E9D" w:rsidP="00446F13">
                  <w:pPr>
                    <w:spacing w:before="240" w:line="200" w:lineRule="auto"/>
                    <w:rPr>
                      <w:rFonts w:ascii="Times New Roman" w:eastAsia="Times New Roman" w:hAnsi="Times New Roman" w:cs="Times New Roman"/>
                      <w:sz w:val="20"/>
                      <w:szCs w:val="20"/>
                    </w:rPr>
                  </w:pPr>
                </w:p>
                <w:p w:rsidR="00D67E9D" w:rsidRPr="00446F13" w:rsidRDefault="00D67E9D" w:rsidP="00446F13">
                  <w:pPr>
                    <w:spacing w:before="240" w:line="200" w:lineRule="auto"/>
                    <w:rPr>
                      <w:rFonts w:ascii="Times New Roman" w:eastAsia="Times New Roman" w:hAnsi="Times New Roman" w:cs="Times New Roman"/>
                      <w:sz w:val="20"/>
                      <w:szCs w:val="20"/>
                    </w:rPr>
                  </w:pPr>
                  <w:bookmarkStart w:id="0" w:name="_GoBack"/>
                  <w:bookmarkEnd w:id="0"/>
                </w:p>
                <w:p w:rsidR="00446F13" w:rsidRPr="00446F13" w:rsidRDefault="00446F13" w:rsidP="00446F13">
                  <w:pPr>
                    <w:spacing w:before="240" w:line="20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r w:rsidRPr="00446F13">
                    <w:rPr>
                      <w:rFonts w:ascii="Times New Roman" w:eastAsia="Times New Roman" w:hAnsi="Times New Roman" w:cs="Times New Roman"/>
                      <w:sz w:val="18"/>
                      <w:szCs w:val="18"/>
                    </w:rPr>
                    <w:t xml:space="preserve"> Corresponding author. </w:t>
                  </w:r>
                  <w:r w:rsidRPr="00446F13">
                    <w:rPr>
                      <w:rFonts w:ascii="Times New Roman" w:eastAsia="Times New Roman" w:hAnsi="Times New Roman" w:cs="Times New Roman"/>
                      <w:i/>
                      <w:sz w:val="18"/>
                      <w:szCs w:val="18"/>
                    </w:rPr>
                    <w:t>E-mail address</w:t>
                  </w:r>
                  <w:r w:rsidRPr="00446F13">
                    <w:rPr>
                      <w:rFonts w:ascii="Times New Roman" w:eastAsia="Times New Roman" w:hAnsi="Times New Roman" w:cs="Times New Roman"/>
                      <w:sz w:val="18"/>
                      <w:szCs w:val="18"/>
                    </w:rPr>
                    <w:t>: tarshni130499@gmail.com</w:t>
                  </w:r>
                </w:p>
              </w:tc>
              <w:tc>
                <w:tcPr>
                  <w:tcW w:w="262" w:type="dxa"/>
                  <w:tcBorders>
                    <w:bottom w:val="single" w:sz="6" w:space="0" w:color="000000"/>
                  </w:tcBorders>
                  <w:shd w:val="clear" w:color="auto" w:fill="auto"/>
                </w:tcPr>
                <w:p w:rsidR="00446F13" w:rsidRDefault="00446F13" w:rsidP="00446F13">
                  <w:pPr>
                    <w:spacing w:line="200" w:lineRule="auto"/>
                    <w:rPr>
                      <w:rFonts w:ascii="Times New Roman" w:eastAsia="Times New Roman" w:hAnsi="Times New Roman" w:cs="Times New Roman"/>
                    </w:rPr>
                  </w:pPr>
                </w:p>
              </w:tc>
              <w:tc>
                <w:tcPr>
                  <w:tcW w:w="6192" w:type="dxa"/>
                  <w:vMerge/>
                  <w:tcBorders>
                    <w:top w:val="single" w:sz="6" w:space="0" w:color="000000"/>
                  </w:tcBorders>
                  <w:shd w:val="clear" w:color="auto" w:fill="auto"/>
                </w:tcPr>
                <w:p w:rsidR="00446F13" w:rsidRDefault="00446F13" w:rsidP="00446F13">
                  <w:pPr>
                    <w:widowControl w:val="0"/>
                    <w:pBdr>
                      <w:top w:val="nil"/>
                      <w:left w:val="nil"/>
                      <w:bottom w:val="nil"/>
                      <w:right w:val="nil"/>
                      <w:between w:val="nil"/>
                    </w:pBdr>
                    <w:spacing w:after="0" w:line="276" w:lineRule="auto"/>
                    <w:rPr>
                      <w:rFonts w:ascii="Times New Roman" w:eastAsia="Times New Roman" w:hAnsi="Times New Roman" w:cs="Times New Roman"/>
                    </w:rPr>
                  </w:pPr>
                </w:p>
              </w:tc>
            </w:tr>
          </w:tbl>
          <w:p w:rsidR="00495757" w:rsidRDefault="00495757">
            <w:pPr>
              <w:jc w:val="center"/>
            </w:pPr>
          </w:p>
        </w:tc>
      </w:tr>
    </w:tbl>
    <w:p w:rsidR="00495757" w:rsidRDefault="00495757"/>
    <w:p w:rsidR="00446F13" w:rsidRPr="00446F13" w:rsidRDefault="00446F13" w:rsidP="00446F13">
      <w:pPr>
        <w:spacing w:line="240" w:lineRule="auto"/>
        <w:jc w:val="center"/>
        <w:rPr>
          <w:rFonts w:ascii="Times New Roman" w:eastAsia="Times New Roman" w:hAnsi="Times New Roman" w:cs="Times New Roman"/>
          <w:b/>
          <w:sz w:val="20"/>
          <w:szCs w:val="20"/>
        </w:rPr>
      </w:pPr>
      <w:r w:rsidRPr="00446F13">
        <w:rPr>
          <w:rFonts w:ascii="Times New Roman" w:eastAsia="Times New Roman" w:hAnsi="Times New Roman" w:cs="Times New Roman"/>
          <w:b/>
          <w:sz w:val="20"/>
          <w:szCs w:val="20"/>
        </w:rPr>
        <w:t>PENGENALAN</w:t>
      </w:r>
    </w:p>
    <w:p w:rsidR="00446F13" w:rsidRPr="00446F13" w:rsidRDefault="00446F13" w:rsidP="00446F13">
      <w:pPr>
        <w:spacing w:line="240" w:lineRule="auto"/>
        <w:jc w:val="both"/>
        <w:rPr>
          <w:rFonts w:ascii="Times New Roman" w:eastAsia="Times New Roman" w:hAnsi="Times New Roman" w:cs="Times New Roman"/>
          <w:sz w:val="20"/>
          <w:szCs w:val="20"/>
        </w:rPr>
      </w:pPr>
      <w:r w:rsidRPr="00446F13">
        <w:rPr>
          <w:rFonts w:ascii="Times New Roman" w:eastAsia="Times New Roman" w:hAnsi="Times New Roman" w:cs="Times New Roman"/>
          <w:sz w:val="20"/>
          <w:szCs w:val="20"/>
        </w:rPr>
        <w:t>Malaysia, sebuah negara Asia Tenggara yang terletak di antara Thailand dan Indonesia, mempunyai warisan budaya yang kaya dan penduduk yang pelbagai terdiri daripada orang Melayu, Cina, India dan orang asli. Sejarah negara adalah permaidani yang ditenun daripada interaksi kompleks budaya pribumi, warisan penjajah, dan usaha pembinaan negara pasca kemerdekaan. Latar belakang sejarah yang rumit ini telah mempengaruhi pembentukan etos kebangsaan Malaysia, khususnya dalam kalangan demografi mudanya. Etos kebangsaan mewakili nilai kolektif, kepercayaan, dan identiti sesebuah negara, berfungsi sebagai kuasa penyatuan yang mengikat warganya bersama. Dalam konteks Malaysia, etos kebangsaan mencerminkan pengalaman, aspirasi, dan perjuangan rakyatnya yang dikongsi sepanjang sejarah (Sugiarta et al., 2019). Sejarah Malaysia dicirikan oleh permaidani kepelbagaian budaya dan kerumitan sejarah. Semenanjung Tanah Melayu, terletak di persimpangan laluan perdagangan purba, telah didiami selama beribu tahun oleh orang asli yang meninggalkan jejak mereka di tanah itu melalui bentuk seni yang rumit, amalan pertanian, dan struktur sosial. Kedatangan pedagang India dan Cina pada zaman dahulu memperkayakan lagi landskap budaya, memupuk pertukaran idea, agama dan bahasa yang rancak. Penyebaran Islam di rantau ini pada abad ke-14 membawa transformasi sosiobudaya yang mendalam, membentuk jati diri orang Melayu dan meletakkan asas kepada pembentukan kesultanan Melayu (Asyari &amp; Dewi, 2021).</w:t>
      </w:r>
    </w:p>
    <w:p w:rsidR="00446F13" w:rsidRPr="00446F13" w:rsidRDefault="00446F13" w:rsidP="00446F13">
      <w:pPr>
        <w:spacing w:line="240" w:lineRule="auto"/>
        <w:ind w:firstLine="720"/>
        <w:jc w:val="both"/>
        <w:rPr>
          <w:rFonts w:ascii="Times New Roman" w:eastAsia="Times New Roman" w:hAnsi="Times New Roman" w:cs="Times New Roman"/>
          <w:sz w:val="20"/>
          <w:szCs w:val="20"/>
        </w:rPr>
      </w:pPr>
      <w:r w:rsidRPr="00446F13">
        <w:rPr>
          <w:rFonts w:ascii="Times New Roman" w:eastAsia="Times New Roman" w:hAnsi="Times New Roman" w:cs="Times New Roman"/>
          <w:sz w:val="20"/>
          <w:szCs w:val="20"/>
        </w:rPr>
        <w:lastRenderedPageBreak/>
        <w:t>Istilah "etos kebangsaan" merangkumi nilai teras, kepercayaan dan cita-cita yang mentakrifkan identiti dan kesedaran kolektif sesebuah negara. Ia mencerminkan warisan, tradisi dan pengalaman yang dikongsi bersama yang mengikat populasi yang pelbagai di bawah identiti yang sama. Dalam konteks Malaysia, etos kebangsaan merangkumi semangat perpaduan dalam kepelbagaian, meraikan warisan pelbagai budaya negara sambil menggalakkan perpaduan sosial dan perpaduan nasional. Ia merangkumi prinsip saling menghormati, toleransi, dan keterangkuman, yang termaktub dalam perlembagaan negara dan dicerminkan dalam dasar dan institusinya (Asyari &amp; Dewi, 2021). Esei ini mengupas hubungan rumit antara sejarah dan pembentukan etos kebangsaan dalam kalangan generasi muda Malaysia. Dengan meneliti naratif sejarah, tradisi budaya, dan kerangka pendidikan yang membentuk identiti Malaysia, esei ini cuba menjelaskan faktor-faktor yang menyumbang kepada pembinaan etos kebangsaan. Melalui pendekatan pelbagai disiplin yang diambil daripada kajian sejarah, sosiologi dan budaya, esei ini bertujuan untuk merungkai kerumitan pembentukan identiti Malaysia dan implikasinya terhadap masa depan negara. Dengan menyelidiki masa lalu, kita boleh memperoleh pemahaman yang lebih mendalam tentang cabaran dan peluang masa kini yang dihadapi Malaysia ketika ia mengharungi kerumitan dunia yang berubah dengan pantas (Kaspin et al., 2022). Ringkasnya, permaidani budaya Malaysia yang kaya dan sejarah yang kompleks telah memainkan peranan penting dalam membentuk etos kebangsaannya. Dengan menerokai hubungan pelbagai rupa antara sejarah dan pembentukan identiti, kita boleh memperoleh pandangan berharga tentang faktor-faktor yang menyumbang kepada pembinaan identiti Malaysia. Melalui pemahaman yang bernuansa masa lalu, kita boleh membuka jalan kepada masyarakat Malaysia yang lebih inklusif, bersatu padu dan berdaya tahan yang menerima kepelbagaiannya dan meraikan warisan bersamanya (Kaspin et al., 2022).</w:t>
      </w:r>
    </w:p>
    <w:p w:rsidR="00446F13" w:rsidRPr="00446F13" w:rsidRDefault="00446F13" w:rsidP="00446F13">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TINJAUAN </w:t>
      </w:r>
      <w:r w:rsidRPr="00446F13">
        <w:rPr>
          <w:rFonts w:ascii="Times New Roman" w:eastAsia="Times New Roman" w:hAnsi="Times New Roman" w:cs="Times New Roman"/>
          <w:b/>
          <w:sz w:val="20"/>
          <w:szCs w:val="20"/>
        </w:rPr>
        <w:t>LITERATUR</w:t>
      </w:r>
    </w:p>
    <w:p w:rsidR="00446F13" w:rsidRPr="00446F13" w:rsidRDefault="00446F13" w:rsidP="00446F13">
      <w:pPr>
        <w:spacing w:line="240" w:lineRule="auto"/>
        <w:jc w:val="both"/>
        <w:rPr>
          <w:rFonts w:ascii="Times New Roman" w:eastAsia="Times New Roman" w:hAnsi="Times New Roman" w:cs="Times New Roman"/>
          <w:sz w:val="20"/>
          <w:szCs w:val="20"/>
        </w:rPr>
      </w:pPr>
      <w:r w:rsidRPr="00446F13">
        <w:rPr>
          <w:rFonts w:ascii="Times New Roman" w:eastAsia="Times New Roman" w:hAnsi="Times New Roman" w:cs="Times New Roman"/>
          <w:sz w:val="20"/>
          <w:szCs w:val="20"/>
        </w:rPr>
        <w:t xml:space="preserve">Pembentukan Malaysia sebagai sebuah negara bangsa pada tahun 1963 menandakan detik penting dalam sejarah negara, yang sangat mempengaruhi etos kebangsaannya. Penggabungan Tanah Melayu, Sabah, Sarawak, dan Singapura mewakili usaha berani yang didorong oleh aspirasi kemerdekaan dan penentuan nasib sendiri. Walau bagaimanapun, proses ini tidak terlepas daripada cabaran, kerana ketegangan antara kumpulan etnik dan agama yang berbeza berterusan, mencerminkan kerumitan landskap sosio-politik Malaysia. Perjuangan untuk kemerdekaan dan usaha pembinaan negara seterusnya memainkan peranan penting dalam membentuk etos kebangsaan Malaysia, meletakkan asas untuk identiti kolektif yang berasaskan perpaduan, kepelbagaian dan daya tahan (Hidayat, 2020). Warisan kolonialisme telah meninggalkan kesan yang kekal pada identiti dan etos kebangsaan Malaysia. Tempoh penguasaan Eropah selama berabad-abad, ditandai dengan eksploitasi, penaklukan, dan asimilasi budaya, membentuk struktur sosio-ekonomi dan politik di rantau ini dengan mendalam. Pentadbiran kolonial British melaksanakan dasar pecah dan memerintah, memburukkan lagi ketegangan etnik dan agama dalam masyarakat Malaysia. Pengenaan klasifikasi kaum secara hierarki, seperti masyarakat Melayu, Cina, dan India, memperkukuh tanggapan identiti dan hierarki etnik, menyumbang kepada perpecahan kaum. Warisan kolonialisme terus mempengaruhi naratif kebangsaan Malaysia, menyemarakkan perdebatan mengenai identiti, warisan, dan pembangunan pasca colonial (Miftakhuddin, 2019). Kolonialisme secara asasnya mengubah struktur sosial, ekonomi dan politik Malaysia, meninggalkan kesan yang berkekalan pada identiti dan etos kebangsaannya. Pengenaan pemerintahan kolonial membawa transformasi yang mendalam dalam masyarakat Malaysia, termasuk perubahan dalam tadbir urus, pemilikan tanah, dan hubungan buruh. Pentadbiran kolonial British melaksanakan dasar pecah dan perintah, memupuk perpecahan etnik dan agama yang terus bergema dalam masyarakat Malaysia kontemporari. Warisan kolonialisme terbukti dengan berterusannya stereotaip kaum, jurang sosio-ekonomi, dan diskriminasi yang dilembagakan. Lebih-lebih lagi, legasi penjajahan terus membentuk naratif kebangsaan Malaysia, menyemarakkan perdebatan mengenai identiti, warisan, dan pembangunan pasca kolonial. Dengan memahami kerumitan masa lampau penjajah Malaysia, kita boleh memperoleh pandangan berharga tentang faktor-faktor yang telah membentuk etos kebangsaan dan identiti kolektifnya (Miftakhuddin, 2019). </w:t>
      </w:r>
    </w:p>
    <w:p w:rsidR="00446F13" w:rsidRPr="00446F13" w:rsidRDefault="00446F13" w:rsidP="00446F13">
      <w:pPr>
        <w:spacing w:line="240" w:lineRule="auto"/>
        <w:ind w:firstLine="720"/>
        <w:jc w:val="both"/>
        <w:rPr>
          <w:rFonts w:ascii="Times New Roman" w:eastAsia="Times New Roman" w:hAnsi="Times New Roman" w:cs="Times New Roman"/>
          <w:sz w:val="20"/>
          <w:szCs w:val="20"/>
        </w:rPr>
      </w:pPr>
      <w:r w:rsidRPr="00446F13">
        <w:rPr>
          <w:rFonts w:ascii="Times New Roman" w:eastAsia="Times New Roman" w:hAnsi="Times New Roman" w:cs="Times New Roman"/>
          <w:sz w:val="20"/>
          <w:szCs w:val="20"/>
        </w:rPr>
        <w:t xml:space="preserve">Rangka kerja pendidikan di Malaysia memainkan peranan penting dalam membentuk etos kebangsaan dengan menyampaikan pengetahuan, nilai dan kemahiran yang menyumbang kepada pembangunan masyarakat yang bersatu padu dan inklusif. Melalui kurikulum berstruktur dan inisiatif pendidikan, sistem pendidikan Malaysia bertujuan untuk menyemai semangat identiti nasional, kebanggaan, dan kekitaan dalam kalangan pelajar, di samping menggalakkan perpaduan, kepelbagaian dan persefahaman budaya. Walau bagaimanapun, rangka kerja pendidikan menghadapi cabaran seperti memastikan keterangkuman, menangani berat sebelah dalam kandungan kurikulum, dan menyesuaikan diri dengan tuntutan globalisasi dan kemajuan teknologi. Di sebalik cabaran ini, pendidikan kekal sebagai alat yang berkuasa untuk memupuk warganegara yang bermaklumat dan bertanggungjawab yang diperlengkapkan untuk menyumbang secara positif kepada fabrik sosiobudaya dan identiti kolektif Malaysia (Zamil et al., 2021). Pendidikan sejarah di Malaysia menghadapi cabaran dan peluang pada abad ke-21, dibentuk oleh globalisasi, kemajuan teknologi, dan perubahan dinamik masyarakat. Di satu pihak, percambahan sumber digital dan </w:t>
      </w:r>
      <w:r w:rsidRPr="00446F13">
        <w:rPr>
          <w:rFonts w:ascii="Times New Roman" w:eastAsia="Times New Roman" w:hAnsi="Times New Roman" w:cs="Times New Roman"/>
          <w:sz w:val="20"/>
          <w:szCs w:val="20"/>
        </w:rPr>
        <w:lastRenderedPageBreak/>
        <w:t xml:space="preserve">platform dalam talian memberikan peluang baharu kepada pendidik sejarah untuk melibatkan pelajar dalam pengalaman pembelajaran yang interaktif dan mendalam. Arkib digital, muzium maya dan tapak web pendidikan menawarkan akses kepada pelbagai maklumat sejarah dan sumber utama, memperkayakan proses pembelajaran dan membolehkan pelajar menganalisis dan mentafsir peristiwa sejarah secara kritis. Sebaliknya, zaman digital juga menimbulkan cabaran seperti penyebaran maklumat yang salah, penghakisan kaedah pengajaran tradisional, dan keperluan untuk menyesuaikan diri dengan teknologi pendidikan yang berkembang pesat. Selain itu, pendidikan sejarah di Malaysia mesti mengemudi isu sensitif seperti revisionisme sejarah, agenda politik, dan sensitiviti budaya, mengimbangi keperluan untuk ketepatan dan objektiviti dengan menghormati perspektif yang pelbagai. Di sebalik cabaran ini, pendidikan sejarah kekal penting dalam membentuk etos negara dan memperkasakan generasi akan datang dengan pengetahuan dan kemahiran untuk mengemudi dunia yang semakin kompleks dan saling berkaitan (Hidayat, 2020). </w:t>
      </w:r>
    </w:p>
    <w:p w:rsidR="00446F13" w:rsidRPr="00446F13" w:rsidRDefault="00446F13" w:rsidP="00446F13">
      <w:pPr>
        <w:spacing w:line="240" w:lineRule="auto"/>
        <w:ind w:firstLine="720"/>
        <w:jc w:val="both"/>
        <w:rPr>
          <w:rFonts w:ascii="Times New Roman" w:eastAsia="Times New Roman" w:hAnsi="Times New Roman" w:cs="Times New Roman"/>
          <w:sz w:val="20"/>
          <w:szCs w:val="20"/>
        </w:rPr>
      </w:pPr>
      <w:r w:rsidRPr="00446F13">
        <w:rPr>
          <w:rFonts w:ascii="Times New Roman" w:eastAsia="Times New Roman" w:hAnsi="Times New Roman" w:cs="Times New Roman"/>
          <w:sz w:val="20"/>
          <w:szCs w:val="20"/>
        </w:rPr>
        <w:t>Dalam era kontemporari, media dan teknologi memainkan peranan penting dalam membentuk naratif sejarah dan mempengaruhi persepsi orang ramai. Melalui pelbagai medium seperti media arus perdana, filem, kesusasteraan dan platform digital, peristiwa sejarah disebarkan kepada khalayak massa, membingkai tafsiran yang sama ada boleh mencerminkan norma masyarakat atau mencabar naratif yang dominan. Kemunculan platform digital seterusnya mendemokrasikan pengeluaran dan penyebaran naratif sejarah, membolehkan individu dan komuniti terlibat dalam penceritaan sejarah dan berkongsi perspektif yang pelbagai. Walau bagaimanapun, percambahan media digital ini juga menimbulkan kebimbangan mengenai ketulenan dan kebolehpercayaan maklumat sejarah, menonjolkan kepentingan penglibatan kritikal dan literasi digital dalam menavigasi kerumitan perwakilan sejarah dalam era digital (Hidayat, 2020). Media, termasuk televisyen, filem, sastera dan platform digital, mempunyai pengaruh yang signifikan dalam membentuk naratif sejarah dan persepsi orang ramai. Media arus perdana sering memainkan peranan penting dalam menyebarkan maklumat sejarah kepada khalayak ramai, merangka peristiwa, angka dan tafsiran dengan cara yang mencerminkan norma, nilai dan berat sebelah masyarakat. Drama sejarah, dokumentari dan biopik, sebagai contoh, mempunyai kuasa untuk meromantikkan atau memburuk-burukkan tokoh sejarah, memutarbelitkan peristiwa, atau meninggalkan butiran penting, sekali gus membentuk pemahaman dan ingatan orang ramai tentang masa lalu. Selain itu, kepentingan komersial industri media mungkin mengutamakan nilai hiburan berbanding ketepatan sejarah, yang membawa kepada gambaran yang disensasikan atau dipermudahkan tentang peristiwa sejarah yang kompleks (Asyari &amp; Dewi, 2021). Tambahan pula, percambahan platform media digital telah mendemokrasikan pengeluaran dan penyebaran naratif sejarah, membolehkan individu dan komuniti mencipta dan berkongsi tafsiran mereka tentang masa lalu. Walaupun pendemokrasian penceritaan sejarah ini boleh memperkayakan wacana sejarah dan mencabar naratif yang dominan, ia juga menimbulkan kebimbangan tentang penyebaran maklumat salah, revisionisme sejarah, dan penghakisan mekanisme penjaga pintu tradisional. Dalam menavigasi landskap pelbagai perwakilan media sejarah, literasi media kritikal menjadi penting bagi khalayak untuk membezakan antara fakta dan fiksyen, menganalisis berat sebelah, dan mengkontekstualisasikan naratif sejarah dalam konteks sosio-politik yang lebih luas. Secara keseluruhannya, representasi sejarah media memainkan peranan penting dalam membentuk persepsi awam dan ingatan kolektif, menonjolkan keperluan untuk penglibatan yang bernuansa dan kritikal dengan penceritaan sejarah dalam era digital.</w:t>
      </w:r>
    </w:p>
    <w:p w:rsidR="00446F13" w:rsidRPr="00446F13" w:rsidRDefault="00446F13" w:rsidP="00446F13">
      <w:pPr>
        <w:spacing w:line="240" w:lineRule="auto"/>
        <w:ind w:firstLine="720"/>
        <w:jc w:val="both"/>
        <w:rPr>
          <w:rFonts w:ascii="Times New Roman" w:eastAsia="Times New Roman" w:hAnsi="Times New Roman" w:cs="Times New Roman"/>
          <w:sz w:val="20"/>
          <w:szCs w:val="20"/>
        </w:rPr>
      </w:pPr>
      <w:r w:rsidRPr="00446F13">
        <w:rPr>
          <w:rFonts w:ascii="Times New Roman" w:eastAsia="Times New Roman" w:hAnsi="Times New Roman" w:cs="Times New Roman"/>
          <w:sz w:val="20"/>
          <w:szCs w:val="20"/>
        </w:rPr>
        <w:t xml:space="preserve">Dalam membentuk etos kebangsaan Malaysia, cabaran dan kontroversi berleluasa, mencerminkan landskap sosio-politik negara yang kompleks dan warisan budaya yang pelbagai. Ketegangan etnik dan agama berterusan, menimbulkan halangan penting untuk memupuk identiti nasional yang padu. Tafsiran sejarah selalunya penuh dengan kontroversi, kerana kumpulan berbeza berusaha untuk mempromosikan naratif dan agenda mereka sendiri, yang membawa kepada polarisasi dan perpecahan. Di samping itu, globalisasi memberikan peluang dan cabaran, kerana kemasukan pengaruh Barat dan integrasi ekonomi membentuk semula identiti dan masyarakat Malaysia. Di sebalik cabaran-cabaran ini, Malaysia menghadapi keperluan untuk mengemudi kerumitan ini, memupuk dialog, persefahaman dan perdamaian untuk membentuk etos nasional yang lebih inklusif dan padu yang meraikan kepelbagaian sambil menggalakkan perpaduan. Salah satu cabaran penting dalam membentuk etos kebangsaan Malaysia ialah kehadiran ketegangan etnik dan agama dalam masyarakat. Di sebalik warisan pelbagai budaya Malaysia, isu-isu seperti diskriminasi, prejudis, dan ketidaksamaan berterusan, menyemarakkan perpecahan dan menghalang usaha ke arah perpaduan negara. Polarisasi etnik, yang diburukkan lagi oleh dasar tindakan afirmatif dan politik identiti, sering membawa kepada perpecahan sosial dan ketidakpercayaan antara komuniti etnik yang berbeza. Begitu juga, ketegangan agama, khususnya antara majoriti penduduk Melayu Islam dan kumpulan agama minoriti, menimbulkan cabaran kepada identiti sekular dan etos pluralistik Malaysia. Insiden intoleransi agama, diskriminasi dan ekstremisme semakin merenggangkan hubungan antara agama dan menjejaskan usaha untuk menggalakkan sikap saling menghormati dan persefahaman. Menangani ketegangan etnik dan agama ini memerlukan pendekatan pelbagai </w:t>
      </w:r>
      <w:r w:rsidRPr="00446F13">
        <w:rPr>
          <w:rFonts w:ascii="Times New Roman" w:eastAsia="Times New Roman" w:hAnsi="Times New Roman" w:cs="Times New Roman"/>
          <w:sz w:val="20"/>
          <w:szCs w:val="20"/>
        </w:rPr>
        <w:lastRenderedPageBreak/>
        <w:t xml:space="preserve">aspek termasuk menggalakkan dialog antara budaya, memupuk empati dan toleransi, dan menangani ketidaksamaan dan ketidakadilan sistemik dalam masyarakat Malaysia (Asyari &amp; Dewi, 2021). </w:t>
      </w:r>
    </w:p>
    <w:p w:rsidR="00446F13" w:rsidRPr="00446F13" w:rsidRDefault="00446F13" w:rsidP="00446F13">
      <w:pPr>
        <w:spacing w:line="240" w:lineRule="auto"/>
        <w:ind w:firstLine="720"/>
        <w:jc w:val="both"/>
        <w:rPr>
          <w:rFonts w:ascii="Times New Roman" w:eastAsia="Times New Roman" w:hAnsi="Times New Roman" w:cs="Times New Roman"/>
          <w:sz w:val="20"/>
          <w:szCs w:val="20"/>
        </w:rPr>
      </w:pPr>
      <w:r w:rsidRPr="00446F13">
        <w:rPr>
          <w:rFonts w:ascii="Times New Roman" w:eastAsia="Times New Roman" w:hAnsi="Times New Roman" w:cs="Times New Roman"/>
          <w:sz w:val="20"/>
          <w:szCs w:val="20"/>
        </w:rPr>
        <w:t>Globalisasi telah banyak mempengaruhi etos kebangsaan Malaysia, memberi kesan kepada pelbagai aspek identiti, budaya dan masyarakat. Apabila Malaysia semakin saling berhubung dengan komuniti global, negara bergelut dengan kedua-dua peluang dan cabaran dalam menentukan dan mengekalkan identiti uniknya di tengah-tengah kuasa globalisasi. Satu kesan penting globalisasi terhadap identiti Malaysia ialah percambahan pengaruh budaya Barat, khususnya melalui media massa, hiburan dan kepenggunaan. Aliran pembaratan, yang ditunjukkan dalam pilihan budaya, fesyen dan gaya hidup popular, telah membawa kepada perubahan dalam norma dan nilai masyarakat, mencabar pembinaan identiti tradisional Malaysia. Pengaruh ini amat ketara dalam kalangan generasi muda, yang lebih terdedah kepada idea dan gaya hidup Barat melalui platform media digital dan rangkaian global. Akibatnya, terdapat ketegangan yang semakin meningkat antara memelihara nilai tradisional Malaysia dan menerima kosmopolitanisme yang dikaitkan dengan globalisasi (Abd. Rahim &amp; Binti Kahal, 2017). Tambahan pula, globalisasi telah mengubah landskap ekonomi Malaysia, membawa kepada peningkatan aliran perdagangan, pelaburan dan migrasi. Integrasi ekonomi ini telah menyumbang kepada kepelbagaian penduduk Malaysia, dengan kemasukan pekerja asing dan ekspatriat membentuk mozek budaya negara. Walaupun globalisasi ekonomi telah membawa kemakmuran dan peluang untuk pertumbuhan, ia juga telah memburukkan lagi jurang sosio-ekonomi dan ketegangan budaya dalam masyarakat Malaysia. Isu seperti ketidaksamaan pendapatan, perpindahan pekerjaan dan stratifikasi sosial mencabar tanggapan identiti nasional yang bersatu, ketika kumpulan berbeza mengharungi kerumitan impak globalisasi terhadap mata pencarian dan kesejahteraan mereka (Abd. Rahim &amp; Binti Kahal, 2017). Lebih-lebih lagi, globalisasi telah memudahkan pertukaran idea, pengetahuan dan maklumat merentasi sempadan, memupuk kesedaran dan kesalinghubungan yang lebih besar dalam kalangan rakyat Malaysia dengan masyarakat global. Rasa kewarganegaraan global yang semakin meningkat ini telah menggalakkan rakyat Malaysia menilai semula identiti nasional mereka dalam konteks transnasional yang lebih luas, merentasi sempadan tradisional etnik, agama dan geografi. Walau bagaimanapun, pandangan kosmopolitan ini juga menimbulkan persoalan tentang pemeliharaan budaya dan tradisi orang asli dalam menghadapi pengaruh global yang menghomogenkan. Kesimpulannya, globalisasi membentangkan kedua-dua peluang dan cabaran untuk identiti nasional Malaysia, ketika negara mengharungi kerumitan integrasi budaya, ekonomi dan sosial dalam dunia globalisasi. Walaupun globalisasi memperkayakan landskap budaya Malaysia dan menggalakkan kesedaran global, ia juga menimbulkan ancaman kepada pembinaan identiti tradisional dan memburukkan lagi jurang sosio-ekonomi. Melangkah ke hadapan, Malaysia mesti mencapai keseimbangan antara menerima manfaat globalisasi dan menjaga warisan budaya dan identiti nasionalnya dalam persekitaran global yang semakin saling berkaitan dan dinamik.</w:t>
      </w:r>
    </w:p>
    <w:p w:rsidR="00446F13" w:rsidRPr="00446F13" w:rsidRDefault="00446F13" w:rsidP="00446F13">
      <w:pPr>
        <w:spacing w:line="240" w:lineRule="auto"/>
        <w:jc w:val="both"/>
        <w:rPr>
          <w:rFonts w:ascii="Times New Roman" w:eastAsia="Times New Roman" w:hAnsi="Times New Roman" w:cs="Times New Roman"/>
          <w:sz w:val="20"/>
          <w:szCs w:val="20"/>
        </w:rPr>
      </w:pPr>
    </w:p>
    <w:p w:rsidR="00446F13" w:rsidRPr="00446F13" w:rsidRDefault="00446F13" w:rsidP="00446F13">
      <w:pPr>
        <w:spacing w:line="240" w:lineRule="auto"/>
        <w:rPr>
          <w:rFonts w:ascii="Times New Roman" w:eastAsia="Times New Roman" w:hAnsi="Times New Roman" w:cs="Times New Roman"/>
          <w:b/>
          <w:sz w:val="20"/>
          <w:szCs w:val="20"/>
        </w:rPr>
      </w:pPr>
      <w:r w:rsidRPr="00446F13">
        <w:rPr>
          <w:rFonts w:ascii="Times New Roman" w:eastAsia="Times New Roman" w:hAnsi="Times New Roman" w:cs="Times New Roman"/>
          <w:b/>
          <w:sz w:val="20"/>
          <w:szCs w:val="20"/>
        </w:rPr>
        <w:t>Kajian Lepas</w:t>
      </w:r>
    </w:p>
    <w:p w:rsidR="00446F13" w:rsidRPr="00446F13" w:rsidRDefault="00446F13" w:rsidP="00446F13">
      <w:pPr>
        <w:spacing w:line="240" w:lineRule="auto"/>
        <w:jc w:val="both"/>
        <w:rPr>
          <w:rFonts w:ascii="Times New Roman" w:eastAsia="Times New Roman" w:hAnsi="Times New Roman" w:cs="Times New Roman"/>
          <w:sz w:val="20"/>
          <w:szCs w:val="20"/>
        </w:rPr>
      </w:pPr>
      <w:r w:rsidRPr="00446F13">
        <w:rPr>
          <w:rFonts w:ascii="Times New Roman" w:eastAsia="Times New Roman" w:hAnsi="Times New Roman" w:cs="Times New Roman"/>
          <w:sz w:val="20"/>
          <w:szCs w:val="20"/>
        </w:rPr>
        <w:t>Kajian yang dilakukan oleh Abd. Rahim dan Kahal (2017) mengungkapkan kesan mendalam kolonialisme terhadap proses Islamisasi di Alam Melayu. Mereka menyoroti bagaimana ilmu kolonialisme memainkan peranan penting dalam mentransformasi landskap pemikiran dan pendidikan di rantau ini. Kolonialisme tidak hanya mempengaruhi struktur politik dan ekonomi, tetapi juga membawa implikasi besar terhadap aspek budaya tempatan. Di samping itu, kajian ini menunjukkan bagaimana agama Islam dipromosikan dan diterima sebagai sistem yang diiktiraf di bawah pengaruh kolonial. Hal ini memberikan gambaran tentang bagaimana perubahan sosial dan intelektual di Alam Melayu berkembang seiring dengan masuknya pengaruh kolonialisme, mengubah secara berkesan landskap kebudayaan dan agama di dalamnya. Kajian yang dilakukan oleh Asyari dan Dewi (2021) memberikan penekanan terhadap peranan penting pendidikan kewarganegaraan dalam memupuk jiwa nasionalisme di kalangan generasi milenial pada era globalisasi. Mereka menggarisbawahi bahawa pendidikan kewarganegaraan tidak hanya berfungsi sebagai alat untuk mengajar aspek-aspek dasar mengenai negara dan sistem politik, tetapi juga sebagai medium yang strategik dalam membentuk kesedaran terhadap nilai-nilai kebangsaan. Melalui sekolah, generasi milenial diberi peluang untuk memahami pentingnya integrasi sosial dan pembangunan identiti kebangsaan yang kuat. Kajian ini menunjukkan bagaimana pendidikan kewarganegaraan mampu menyumbang kepada perkembangan sikap dan komitmen terhadap negara dalam menghadapi cabaran globalisasi yang semakin kompleks.</w:t>
      </w:r>
    </w:p>
    <w:p w:rsidR="00446F13" w:rsidRPr="00446F13" w:rsidRDefault="00446F13" w:rsidP="00446F13">
      <w:pPr>
        <w:spacing w:line="240" w:lineRule="auto"/>
        <w:jc w:val="both"/>
        <w:rPr>
          <w:rFonts w:ascii="Times New Roman" w:eastAsia="Times New Roman" w:hAnsi="Times New Roman" w:cs="Times New Roman"/>
          <w:sz w:val="20"/>
          <w:szCs w:val="20"/>
        </w:rPr>
      </w:pPr>
      <w:r w:rsidRPr="00446F13">
        <w:rPr>
          <w:rFonts w:ascii="Times New Roman" w:eastAsia="Times New Roman" w:hAnsi="Times New Roman" w:cs="Times New Roman"/>
          <w:sz w:val="20"/>
          <w:szCs w:val="20"/>
        </w:rPr>
        <w:tab/>
        <w:t xml:space="preserve">Kajian yang diusulkan oleh Hidayat (2020) tentang pengembangan kurikulum sejarah kebudayaan Islam dengan Pendekatan Total History menyoroti keperluan untuk memahami sejarah Islam secara komprehensif dan holistik. Pendekatan ini tidak hanya menekankan pentingnya mempelajari peristiwa sejarah, tetapi juga memperluas cakupannya untuk merangkum aspek-aspek kebudayaan Islam dalam konteks kontemporer. Hidayat menggarisbawahi </w:t>
      </w:r>
      <w:r w:rsidRPr="00446F13">
        <w:rPr>
          <w:rFonts w:ascii="Times New Roman" w:eastAsia="Times New Roman" w:hAnsi="Times New Roman" w:cs="Times New Roman"/>
          <w:sz w:val="20"/>
          <w:szCs w:val="20"/>
        </w:rPr>
        <w:lastRenderedPageBreak/>
        <w:t>urgensi dari pendekatan ini dalam konteks pendidikan modern yang menghargai relevansi nilai-nilai kebudayaan Islam dalam membentuk pemahaman yang mendalam tentang sejarah dan kearifan lokal. Dengan menerapkan Pendekatan Total History, kurikulum diharapkan dapat mengaktualisasikan warisan kebudayaan Islam secara menyeluruh, memperkaya pengalaman pendidikan, dan membangun pemahaman yang lebih mendalam serta inklusif terhadap peradaban Islam. Kajian yang dilakukan oleh Kaspin et al. (2022) mengenai pemahaman konsep Bangsa Malaysia di kalangan pelajar menekankan pentingnya dalam memahami dan mendefinisikan identitas nasional yang inklusif. Mereka menyelidik bagaimana pemahaman ini mempengaruhi proses pembentukan negara dan bangsa Malaysia secara keseluruhan. Kajian ini menggarisbawahi perlunya mengatasi perbezaan etnik dan budaya untuk memperkukuhkan solidariti serta integrasi sosial di Malaysia. Melalui penelitian mereka, Kaspin et al. (2022) memberikan pandangan yang penting dalam merangkumi perspektif pelajar terhadap konsep Bangsa Malaysia, yang dapat membantu dalam memperkukuhkan identiti kebangsaan yang bersama-sama dan harmoni di negara ini.</w:t>
      </w:r>
    </w:p>
    <w:p w:rsidR="00446F13" w:rsidRPr="00446F13" w:rsidRDefault="00446F13" w:rsidP="00446F13">
      <w:pPr>
        <w:spacing w:line="240" w:lineRule="auto"/>
        <w:ind w:firstLine="720"/>
        <w:jc w:val="both"/>
        <w:rPr>
          <w:rFonts w:ascii="Times New Roman" w:eastAsia="Times New Roman" w:hAnsi="Times New Roman" w:cs="Times New Roman"/>
          <w:sz w:val="20"/>
          <w:szCs w:val="20"/>
        </w:rPr>
      </w:pPr>
      <w:r w:rsidRPr="00446F13">
        <w:rPr>
          <w:rFonts w:ascii="Times New Roman" w:eastAsia="Times New Roman" w:hAnsi="Times New Roman" w:cs="Times New Roman"/>
          <w:sz w:val="20"/>
          <w:szCs w:val="20"/>
        </w:rPr>
        <w:t>Kajian yang dilakukan oleh Kaviza (2019) mengenai penguasaan kemahiran pemikiran sejarah dan gaya pembelajaran murid Tingkatan Dua memfokuskan perbandingan antara beberapa pendekatan pembelajaran dalam menggalakkan kemahiran berfikir kritis dan analitikal di kalangan pelajar. Kajian ini penting kerana menekankan betapa pentingnya pembelajaran sejarah dalam merangsang keupayaan pelajar untuk berfikir secara mendalam tentang peristiwa-peristiwa sejarah dan implikasinya terhadap masyarakat. Melalui penelitian ini, Kaviza (2019) memberikan wawasan tentang keberkesanan berbagai gaya pembelajaran dalam meningkatkan penguasaan kemahiran pemikiran sejarah di kalangan pelajar tingkatan dua, yang merupakan asas penting dalam membangun keupayaan kognitif mereka dalam memahami sejarah secara menyeluruh. Kajian yang dilakukan oleh Sugiarta et al. (2019) mengenai pengaruh filsafat pendidikan Ki Hajar Dewantara dalam sistem pendidikan di Indonesia menyoroti prinsip-prinsip penting yang ditanamkan oleh tokoh tersebut. Ki Hajar Dewantara memandang pendidikan bukan sekadar sebagai proses pengajaran, tetapi sebagai sarana untuk membebaskan dan memberdayakan masyarakat. Fokus utamanya adalah menghormati dan mempromosikan nilai-nilai budaya lokal sebagai landasan untuk membangun pendidikan yang relevan dan bermakna bagi generasi muda. Penelitian ini penting karena menggarisbawahi bagaimana pemikiran Ki Hajar Dewantara terus mempengaruhi struktur dan pendekatan pendidikan di Indonesia hingga saat ini. Nilai-nilai seperti keadilan sosial, kesetaraan, dan penghargaan terhadap keberagaman budaya menjadi inti dari filsafat pendidikannya, yang berperan penting dalam membentuk identitas dan karakter pendidikan nasional Indonesia. Melalui kajian ini, Sugiarta et al. (2019) memberikan kontribusi yang berharga dalam memahami bagaimana filosofi Ki Hajar Dewantara dapat diterapkan secara kontekstual dalam pembangunan pendidikan modern di Indonesia.</w:t>
      </w:r>
    </w:p>
    <w:p w:rsidR="00446F13" w:rsidRPr="00446F13" w:rsidRDefault="00446F13" w:rsidP="00446F13">
      <w:pPr>
        <w:spacing w:line="240" w:lineRule="auto"/>
        <w:jc w:val="both"/>
        <w:rPr>
          <w:rFonts w:ascii="Times New Roman" w:eastAsia="Times New Roman" w:hAnsi="Times New Roman" w:cs="Times New Roman"/>
          <w:sz w:val="20"/>
          <w:szCs w:val="20"/>
        </w:rPr>
      </w:pPr>
    </w:p>
    <w:p w:rsidR="00446F13" w:rsidRPr="00446F13" w:rsidRDefault="00446F13" w:rsidP="00446F13">
      <w:pPr>
        <w:spacing w:line="240" w:lineRule="auto"/>
        <w:jc w:val="center"/>
        <w:rPr>
          <w:rFonts w:ascii="Times New Roman" w:eastAsia="Times New Roman" w:hAnsi="Times New Roman" w:cs="Times New Roman"/>
          <w:b/>
          <w:sz w:val="20"/>
          <w:szCs w:val="20"/>
        </w:rPr>
      </w:pPr>
      <w:r w:rsidRPr="00446F13">
        <w:rPr>
          <w:rFonts w:ascii="Times New Roman" w:eastAsia="Times New Roman" w:hAnsi="Times New Roman" w:cs="Times New Roman"/>
          <w:b/>
          <w:sz w:val="20"/>
          <w:szCs w:val="20"/>
        </w:rPr>
        <w:t>KESIMPULAN</w:t>
      </w:r>
    </w:p>
    <w:p w:rsidR="00446F13" w:rsidRPr="00446F13" w:rsidRDefault="00446F13" w:rsidP="00446F13">
      <w:pPr>
        <w:spacing w:line="240" w:lineRule="auto"/>
        <w:jc w:val="both"/>
        <w:rPr>
          <w:rFonts w:ascii="Times New Roman" w:eastAsia="Times New Roman" w:hAnsi="Times New Roman" w:cs="Times New Roman"/>
          <w:sz w:val="20"/>
          <w:szCs w:val="20"/>
        </w:rPr>
      </w:pPr>
      <w:r w:rsidRPr="00446F13">
        <w:rPr>
          <w:rFonts w:ascii="Times New Roman" w:eastAsia="Times New Roman" w:hAnsi="Times New Roman" w:cs="Times New Roman"/>
          <w:sz w:val="20"/>
          <w:szCs w:val="20"/>
        </w:rPr>
        <w:t xml:space="preserve">Sepanjang esei ini, kami telah menjelaskan bagaimana peristiwa sejarah, tradisi budaya dan rangka kerja pendidikan saling berkait untuk membentuk etos kebangsaan generasi muda Malaysia. Warisan budaya Malaysia yang kaya dan pelbagai berfungsi sebagai landasan di mana identiti nasionalnya dibina, dengan naratif sejarah bertindak sebagai lensa yang melaluinya rakyat Malaysia mentafsir masa lalu kolektif mereka. Tambahan pula, pemeriksaan terhadap cabaran seperti ketegangan etnik dan globalisasi menggariskan kerumitan yang terlibat dalam membentuk etos nasional yang padu di tengah-tengah transformasi masyarakat. Akhir sekali, penekanan untuk mendengar suara anak muda Malaysia melalui temu bual dan tinjauan menggariskan kepentingan memahami perspektif dan aspirasi mereka dalam membentuk identiti nasional. Wawasan yang diperoleh daripada penerokaan kami membawa implikasi yang signifikan terhadap dasar dan amalan di Malaysia. Penggubal dasar digesa untuk mengutamakan inisiatif yang bertujuan untuk memupuk dialog antara budaya dan perdamaian untuk mengurangkan ketegangan etnik dan agama, dengan itu memupuk etos nasional yang lebih inklusif. Di samping itu, semakan semula kurikulum sejarah dalam institusi pendidikan adalah penting untuk memastikan perwakilan holistik warisan Malaysia yang pelbagai, mengiktiraf sumbangan semua masyarakat. Tambahan pula, usaha untuk memperkasakan anak muda Malaysia melalui platform yang menguatkan suara mereka adalah penting untuk memupuk penglibatan sivik yang aktif dan membentuk hala tuju masa depan negara (Sivik et al., 2022). Memandang ke hadapan, usaha penyelidikan masa depan harus menyelidiki dengan lebih mendalam untuk memahami perspektif dan pengalaman anak muda Malaysia, khususnya berkaitan rasa identiti dan aspirasi kebangsaan mereka yang semakin berkembang. Kajian membujur yang menjejaki perubahan sikap dan kepercayaan dari semasa ke semasa boleh memberikan pandangan yang tidak ternilai tentang sifat dinamik etos kebangsaan Malaysia. Penyelidikan perbandingan merentasi pelbagai konteks sosiobudaya akan menawarkan pengajaran berharga untuk Malaysia dan masyarakat pelbagai budaya lain yang bergelut dengan cabaran yang sama. Lebih-lebih lagi, penyelidikan antara disiplin yang merapatkan bidang seperti sejarah, sosiologi, psikologi, dan pendidikan akan memperkayakan pemahaman kita tentang proses pelbagai rupa yang mendasari </w:t>
      </w:r>
      <w:r w:rsidRPr="00446F13">
        <w:rPr>
          <w:rFonts w:ascii="Times New Roman" w:eastAsia="Times New Roman" w:hAnsi="Times New Roman" w:cs="Times New Roman"/>
          <w:sz w:val="20"/>
          <w:szCs w:val="20"/>
        </w:rPr>
        <w:lastRenderedPageBreak/>
        <w:t>pembentukan identiti nasional dalam kalangan belia Malaysia (Sivik et al., 2022). Dengan memulakan saluran siasatan ini, Malaysia boleh melakarkan laluan ke arah memupuk etos nasional yang lebih inklusif dan berdaya tahan yang meraikan kepelbagaian dan menggalakkan perpaduan dalam dunia yang semakin global.</w:t>
      </w:r>
    </w:p>
    <w:p w:rsidR="00446F13" w:rsidRPr="00446F13" w:rsidRDefault="00446F13" w:rsidP="00446F13">
      <w:pPr>
        <w:spacing w:line="240" w:lineRule="auto"/>
        <w:jc w:val="both"/>
        <w:rPr>
          <w:rFonts w:ascii="Times New Roman" w:eastAsia="Times New Roman" w:hAnsi="Times New Roman" w:cs="Times New Roman"/>
          <w:sz w:val="20"/>
          <w:szCs w:val="20"/>
        </w:rPr>
      </w:pPr>
    </w:p>
    <w:p w:rsidR="00446F13" w:rsidRPr="00446F13" w:rsidRDefault="00446F13" w:rsidP="00446F13">
      <w:pPr>
        <w:spacing w:line="240" w:lineRule="auto"/>
        <w:jc w:val="center"/>
        <w:rPr>
          <w:rFonts w:ascii="Times New Roman" w:eastAsia="Times New Roman" w:hAnsi="Times New Roman" w:cs="Times New Roman"/>
          <w:b/>
          <w:sz w:val="20"/>
          <w:szCs w:val="20"/>
        </w:rPr>
      </w:pPr>
      <w:r w:rsidRPr="00446F13">
        <w:rPr>
          <w:rFonts w:ascii="Times New Roman" w:eastAsia="Times New Roman" w:hAnsi="Times New Roman" w:cs="Times New Roman"/>
          <w:b/>
          <w:sz w:val="20"/>
          <w:szCs w:val="20"/>
        </w:rPr>
        <w:t>RUJUKAN</w:t>
      </w:r>
    </w:p>
    <w:p w:rsidR="00446F13" w:rsidRPr="00446F13" w:rsidRDefault="00446F13" w:rsidP="00446F13">
      <w:pPr>
        <w:spacing w:line="240" w:lineRule="auto"/>
        <w:ind w:left="720" w:hanging="720"/>
        <w:jc w:val="both"/>
        <w:rPr>
          <w:rFonts w:ascii="Times New Roman" w:eastAsia="Times New Roman" w:hAnsi="Times New Roman" w:cs="Times New Roman"/>
          <w:sz w:val="20"/>
          <w:szCs w:val="20"/>
        </w:rPr>
      </w:pPr>
      <w:r w:rsidRPr="00446F13">
        <w:rPr>
          <w:rFonts w:ascii="Times New Roman" w:eastAsia="Times New Roman" w:hAnsi="Times New Roman" w:cs="Times New Roman"/>
          <w:sz w:val="20"/>
          <w:szCs w:val="20"/>
        </w:rPr>
        <w:t xml:space="preserve">Abd. Rahim, R. A., &amp; Binti Kahal, S. M. (2017). Ilmu Kolonial Dan Islamisasi Alam Melayu: Analisis Kritikal. Sejarah, 26(1), 33–49. </w:t>
      </w:r>
      <w:hyperlink r:id="rId9">
        <w:r w:rsidRPr="00446F13">
          <w:rPr>
            <w:rFonts w:ascii="Times New Roman" w:eastAsia="Times New Roman" w:hAnsi="Times New Roman" w:cs="Times New Roman"/>
            <w:color w:val="0563C1"/>
            <w:sz w:val="20"/>
            <w:szCs w:val="20"/>
            <w:u w:val="single"/>
          </w:rPr>
          <w:t>https://doi.org/10.22452/sejarah.vol26no1.3</w:t>
        </w:r>
      </w:hyperlink>
      <w:r w:rsidRPr="00446F13">
        <w:rPr>
          <w:rFonts w:ascii="Times New Roman" w:eastAsia="Times New Roman" w:hAnsi="Times New Roman" w:cs="Times New Roman"/>
          <w:sz w:val="20"/>
          <w:szCs w:val="20"/>
        </w:rPr>
        <w:t xml:space="preserve"> </w:t>
      </w:r>
    </w:p>
    <w:p w:rsidR="00446F13" w:rsidRPr="00446F13" w:rsidRDefault="00446F13" w:rsidP="00446F13">
      <w:pPr>
        <w:spacing w:line="240" w:lineRule="auto"/>
        <w:ind w:left="720" w:hanging="720"/>
        <w:jc w:val="both"/>
        <w:rPr>
          <w:rFonts w:ascii="Times New Roman" w:eastAsia="Times New Roman" w:hAnsi="Times New Roman" w:cs="Times New Roman"/>
          <w:sz w:val="20"/>
          <w:szCs w:val="20"/>
        </w:rPr>
      </w:pPr>
      <w:r w:rsidRPr="00446F13">
        <w:rPr>
          <w:rFonts w:ascii="Times New Roman" w:eastAsia="Times New Roman" w:hAnsi="Times New Roman" w:cs="Times New Roman"/>
          <w:sz w:val="20"/>
          <w:szCs w:val="20"/>
        </w:rPr>
        <w:t xml:space="preserve">Arta, K. S. (2019). Pelatihan Penulisan Artikel Untuk Publikasi Di Jurnal Ilmiah Untuk Meningkatkan Profesionalisme Bagi Guru-Guru Di Kecamatan Kubutambahan Kabupaten Buleleng. Acarya Pustaka, 5(2), 17. </w:t>
      </w:r>
      <w:hyperlink r:id="rId10">
        <w:r w:rsidRPr="00446F13">
          <w:rPr>
            <w:rFonts w:ascii="Times New Roman" w:eastAsia="Times New Roman" w:hAnsi="Times New Roman" w:cs="Times New Roman"/>
            <w:color w:val="0563C1"/>
            <w:sz w:val="20"/>
            <w:szCs w:val="20"/>
            <w:u w:val="single"/>
          </w:rPr>
          <w:t>https://doi.org/10.23887/ap.v5i2.17412</w:t>
        </w:r>
      </w:hyperlink>
      <w:r w:rsidRPr="00446F13">
        <w:rPr>
          <w:rFonts w:ascii="Times New Roman" w:eastAsia="Times New Roman" w:hAnsi="Times New Roman" w:cs="Times New Roman"/>
          <w:sz w:val="20"/>
          <w:szCs w:val="20"/>
        </w:rPr>
        <w:t xml:space="preserve"> </w:t>
      </w:r>
    </w:p>
    <w:p w:rsidR="00446F13" w:rsidRPr="00446F13" w:rsidRDefault="00446F13" w:rsidP="00446F13">
      <w:pPr>
        <w:spacing w:line="240" w:lineRule="auto"/>
        <w:ind w:left="720" w:hanging="720"/>
        <w:jc w:val="both"/>
        <w:rPr>
          <w:rFonts w:ascii="Times New Roman" w:eastAsia="Times New Roman" w:hAnsi="Times New Roman" w:cs="Times New Roman"/>
          <w:sz w:val="20"/>
          <w:szCs w:val="20"/>
        </w:rPr>
      </w:pPr>
      <w:r w:rsidRPr="00446F13">
        <w:rPr>
          <w:rFonts w:ascii="Times New Roman" w:eastAsia="Times New Roman" w:hAnsi="Times New Roman" w:cs="Times New Roman"/>
          <w:sz w:val="20"/>
          <w:szCs w:val="20"/>
        </w:rPr>
        <w:t xml:space="preserve">Asyari, D., &amp; Dewi, D. A. (2021). Peran Pendidikan Kewarganegaraan bagi Generasi Milenial dalam Menanamkan Jiwa Nasionalisme Di Era Globalisasi. Jurnal Pendidikan Dan Konseling (JPDK), 3(2), 30–41. </w:t>
      </w:r>
      <w:hyperlink r:id="rId11">
        <w:r w:rsidRPr="00446F13">
          <w:rPr>
            <w:rFonts w:ascii="Times New Roman" w:eastAsia="Times New Roman" w:hAnsi="Times New Roman" w:cs="Times New Roman"/>
            <w:color w:val="0563C1"/>
            <w:sz w:val="20"/>
            <w:szCs w:val="20"/>
            <w:u w:val="single"/>
          </w:rPr>
          <w:t>https://doi.org/10.31004/jpdk.v3i2.1628</w:t>
        </w:r>
      </w:hyperlink>
      <w:r w:rsidRPr="00446F13">
        <w:rPr>
          <w:rFonts w:ascii="Times New Roman" w:eastAsia="Times New Roman" w:hAnsi="Times New Roman" w:cs="Times New Roman"/>
          <w:sz w:val="20"/>
          <w:szCs w:val="20"/>
        </w:rPr>
        <w:t xml:space="preserve"> </w:t>
      </w:r>
    </w:p>
    <w:p w:rsidR="00446F13" w:rsidRPr="00446F13" w:rsidRDefault="00446F13" w:rsidP="00446F13">
      <w:pPr>
        <w:spacing w:line="240" w:lineRule="auto"/>
        <w:ind w:left="720" w:hanging="720"/>
        <w:jc w:val="both"/>
        <w:rPr>
          <w:rFonts w:ascii="Times New Roman" w:eastAsia="Times New Roman" w:hAnsi="Times New Roman" w:cs="Times New Roman"/>
          <w:sz w:val="20"/>
          <w:szCs w:val="20"/>
        </w:rPr>
      </w:pPr>
      <w:r w:rsidRPr="00446F13">
        <w:rPr>
          <w:rFonts w:ascii="Times New Roman" w:eastAsia="Times New Roman" w:hAnsi="Times New Roman" w:cs="Times New Roman"/>
          <w:sz w:val="20"/>
          <w:szCs w:val="20"/>
        </w:rPr>
        <w:t>Hidayat, F. (2020). Pengembangan Kurikulum Sejarah Kebudayaan Islam dengan Pendekatan Total History: Urgensi, Relevansi, dan Aktualisasi. CV Jejak (Jejak Publisher).</w:t>
      </w:r>
    </w:p>
    <w:p w:rsidR="00446F13" w:rsidRPr="00446F13" w:rsidRDefault="00446F13" w:rsidP="00446F13">
      <w:pPr>
        <w:spacing w:line="240" w:lineRule="auto"/>
        <w:ind w:left="720" w:hanging="720"/>
        <w:jc w:val="both"/>
        <w:rPr>
          <w:rFonts w:ascii="Times New Roman" w:eastAsia="Times New Roman" w:hAnsi="Times New Roman" w:cs="Times New Roman"/>
          <w:sz w:val="20"/>
          <w:szCs w:val="20"/>
        </w:rPr>
      </w:pPr>
      <w:r w:rsidRPr="00446F13">
        <w:rPr>
          <w:rFonts w:ascii="Times New Roman" w:eastAsia="Times New Roman" w:hAnsi="Times New Roman" w:cs="Times New Roman"/>
          <w:sz w:val="20"/>
          <w:szCs w:val="20"/>
        </w:rPr>
        <w:t xml:space="preserve">Kaspin, K. G., Jamal, M. B., Mohd Nor, N. M., Marzuki, M., &amp; Ibrahim, M. H. (2022). Understanding The Concept Bangsa Malaysia Among Students: A Study Towards The Formation &amp; Nation State Building Course. International Journal of Education, Psychology and Counseling, 7(45), 45–59. </w:t>
      </w:r>
      <w:hyperlink r:id="rId12">
        <w:r w:rsidRPr="00446F13">
          <w:rPr>
            <w:rFonts w:ascii="Times New Roman" w:eastAsia="Times New Roman" w:hAnsi="Times New Roman" w:cs="Times New Roman"/>
            <w:color w:val="0563C1"/>
            <w:sz w:val="20"/>
            <w:szCs w:val="20"/>
            <w:u w:val="single"/>
          </w:rPr>
          <w:t>https://doi.org/10.35631/ijepc.745004</w:t>
        </w:r>
      </w:hyperlink>
      <w:r w:rsidRPr="00446F13">
        <w:rPr>
          <w:rFonts w:ascii="Times New Roman" w:eastAsia="Times New Roman" w:hAnsi="Times New Roman" w:cs="Times New Roman"/>
          <w:sz w:val="20"/>
          <w:szCs w:val="20"/>
        </w:rPr>
        <w:t xml:space="preserve"> </w:t>
      </w:r>
    </w:p>
    <w:p w:rsidR="00446F13" w:rsidRPr="00446F13" w:rsidRDefault="00446F13" w:rsidP="00446F13">
      <w:pPr>
        <w:spacing w:line="240" w:lineRule="auto"/>
        <w:ind w:left="720" w:hanging="720"/>
        <w:jc w:val="both"/>
        <w:rPr>
          <w:rFonts w:ascii="Times New Roman" w:eastAsia="Times New Roman" w:hAnsi="Times New Roman" w:cs="Times New Roman"/>
          <w:sz w:val="20"/>
          <w:szCs w:val="20"/>
        </w:rPr>
      </w:pPr>
      <w:r w:rsidRPr="00446F13">
        <w:rPr>
          <w:rFonts w:ascii="Times New Roman" w:eastAsia="Times New Roman" w:hAnsi="Times New Roman" w:cs="Times New Roman"/>
          <w:sz w:val="20"/>
          <w:szCs w:val="20"/>
        </w:rPr>
        <w:t>Kaviza, M. (2019). Penguasaan Kemahiran Pemikiran Sejarah Dan Gaya Pembelajaran Murid Tingkatan Dua: Satu Kajian Perbandingan. E-Bangi, 16(4).</w:t>
      </w:r>
    </w:p>
    <w:p w:rsidR="00446F13" w:rsidRPr="00446F13" w:rsidRDefault="00446F13" w:rsidP="00446F13">
      <w:pPr>
        <w:spacing w:line="240" w:lineRule="auto"/>
        <w:ind w:left="720" w:hanging="720"/>
        <w:jc w:val="both"/>
        <w:rPr>
          <w:rFonts w:ascii="Times New Roman" w:eastAsia="Times New Roman" w:hAnsi="Times New Roman" w:cs="Times New Roman"/>
          <w:sz w:val="20"/>
          <w:szCs w:val="20"/>
        </w:rPr>
      </w:pPr>
      <w:r w:rsidRPr="00446F13">
        <w:rPr>
          <w:rFonts w:ascii="Times New Roman" w:eastAsia="Times New Roman" w:hAnsi="Times New Roman" w:cs="Times New Roman"/>
          <w:sz w:val="20"/>
          <w:szCs w:val="20"/>
        </w:rPr>
        <w:t>Miftakhuddin. (2019). Kolonialisme: Eksploitasi dan Pembangunan Menuju Hegemoni. CV Jejak (Jejak Publisher).</w:t>
      </w:r>
    </w:p>
    <w:p w:rsidR="00446F13" w:rsidRPr="00446F13" w:rsidRDefault="00446F13" w:rsidP="00446F13">
      <w:pPr>
        <w:spacing w:line="240" w:lineRule="auto"/>
        <w:ind w:left="720" w:hanging="720"/>
        <w:jc w:val="both"/>
        <w:rPr>
          <w:rFonts w:ascii="Times New Roman" w:eastAsia="Times New Roman" w:hAnsi="Times New Roman" w:cs="Times New Roman"/>
          <w:sz w:val="20"/>
          <w:szCs w:val="20"/>
        </w:rPr>
      </w:pPr>
      <w:r w:rsidRPr="00446F13">
        <w:rPr>
          <w:rFonts w:ascii="Times New Roman" w:eastAsia="Times New Roman" w:hAnsi="Times New Roman" w:cs="Times New Roman"/>
          <w:sz w:val="20"/>
          <w:szCs w:val="20"/>
        </w:rPr>
        <w:t xml:space="preserve">Sivik, N., Etnik, B., Tadbir, I., Kerajaan, U., Etos, T., Di, B., Kebangsaan, S., Bin Omar, A., Hamzah, S., &amp; Kee, C. (2022). under a Creative Commons Attribution 4.0 International License (CC BY). (The Impact of Civic Values, Ethnic Boundaries and State Governance on National Ethos in Primary Schools) Corresponding Author (*). Malaysian Journal of Social Sciences and Humanities, 7(6), 1559. </w:t>
      </w:r>
      <w:hyperlink r:id="rId13">
        <w:r w:rsidRPr="00446F13">
          <w:rPr>
            <w:rFonts w:ascii="Times New Roman" w:eastAsia="Times New Roman" w:hAnsi="Times New Roman" w:cs="Times New Roman"/>
            <w:color w:val="0563C1"/>
            <w:sz w:val="20"/>
            <w:szCs w:val="20"/>
            <w:u w:val="single"/>
          </w:rPr>
          <w:t>https://doi.org/10.47405/mjssh.v7i6.1559</w:t>
        </w:r>
      </w:hyperlink>
      <w:r w:rsidRPr="00446F13">
        <w:rPr>
          <w:rFonts w:ascii="Times New Roman" w:eastAsia="Times New Roman" w:hAnsi="Times New Roman" w:cs="Times New Roman"/>
          <w:sz w:val="20"/>
          <w:szCs w:val="20"/>
        </w:rPr>
        <w:t xml:space="preserve"> </w:t>
      </w:r>
    </w:p>
    <w:p w:rsidR="00446F13" w:rsidRPr="00446F13" w:rsidRDefault="00446F13" w:rsidP="00446F13">
      <w:pPr>
        <w:spacing w:line="240" w:lineRule="auto"/>
        <w:ind w:left="720" w:hanging="720"/>
        <w:jc w:val="both"/>
        <w:rPr>
          <w:rFonts w:ascii="Times New Roman" w:eastAsia="Times New Roman" w:hAnsi="Times New Roman" w:cs="Times New Roman"/>
          <w:sz w:val="20"/>
          <w:szCs w:val="20"/>
        </w:rPr>
      </w:pPr>
      <w:r w:rsidRPr="00446F13">
        <w:rPr>
          <w:rFonts w:ascii="Times New Roman" w:eastAsia="Times New Roman" w:hAnsi="Times New Roman" w:cs="Times New Roman"/>
          <w:sz w:val="20"/>
          <w:szCs w:val="20"/>
        </w:rPr>
        <w:t xml:space="preserve">Sugiarta, I. M., Mardana, I. B. P., Adiarta, A., &amp; Artanayasa, W. (2019). FILSAFAT PENDIDIKAN KI HAJAR DEWANTARA (TOKOH TIMUR). Jurnal Filsafat Indonesia, 2(3), 124. </w:t>
      </w:r>
      <w:hyperlink r:id="rId14">
        <w:r w:rsidRPr="00446F13">
          <w:rPr>
            <w:rFonts w:ascii="Times New Roman" w:eastAsia="Times New Roman" w:hAnsi="Times New Roman" w:cs="Times New Roman"/>
            <w:color w:val="0563C1"/>
            <w:sz w:val="20"/>
            <w:szCs w:val="20"/>
            <w:u w:val="single"/>
          </w:rPr>
          <w:t>https://doi.org/10.23887/jfi.v2i3.22187</w:t>
        </w:r>
      </w:hyperlink>
      <w:r w:rsidRPr="00446F13">
        <w:rPr>
          <w:rFonts w:ascii="Times New Roman" w:eastAsia="Times New Roman" w:hAnsi="Times New Roman" w:cs="Times New Roman"/>
          <w:sz w:val="20"/>
          <w:szCs w:val="20"/>
        </w:rPr>
        <w:t xml:space="preserve"> </w:t>
      </w:r>
    </w:p>
    <w:p w:rsidR="00495757" w:rsidRPr="00446F13" w:rsidRDefault="00446F13" w:rsidP="00446F13">
      <w:pPr>
        <w:spacing w:after="60" w:line="240" w:lineRule="auto"/>
        <w:ind w:firstLine="720"/>
        <w:jc w:val="both"/>
        <w:rPr>
          <w:rFonts w:ascii="Times New Roman" w:hAnsi="Times New Roman" w:cs="Times New Roman"/>
          <w:sz w:val="20"/>
          <w:szCs w:val="20"/>
        </w:rPr>
      </w:pPr>
      <w:r w:rsidRPr="00446F13">
        <w:rPr>
          <w:rFonts w:ascii="Times New Roman" w:eastAsia="Times New Roman" w:hAnsi="Times New Roman" w:cs="Times New Roman"/>
          <w:sz w:val="20"/>
          <w:szCs w:val="20"/>
        </w:rPr>
        <w:t>Zamil, A., Muhamad Amar Mahmad, Khairiah Mohd Yassin, Azman Md Zain, Solahudin Abd Hamid, Mohd., Ishak, I., Adon, I., Ahmad, M., &amp; Mohamed, Z. (2021). Penghayatan Etika dan Peradaban (UUM Press). UUM Press.</w:t>
      </w:r>
    </w:p>
    <w:sectPr w:rsidR="00495757" w:rsidRPr="00446F13" w:rsidSect="00D67E9D">
      <w:footerReference w:type="default" r:id="rId15"/>
      <w:headerReference w:type="first" r:id="rId16"/>
      <w:footerReference w:type="first" r:id="rId17"/>
      <w:pgSz w:w="12240" w:h="15840"/>
      <w:pgMar w:top="1440" w:right="1440" w:bottom="1440" w:left="1440" w:header="720" w:footer="720" w:gutter="0"/>
      <w:pgNumType w:start="66"/>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77E6" w:rsidRDefault="001077E6">
      <w:pPr>
        <w:spacing w:after="0" w:line="240" w:lineRule="auto"/>
      </w:pPr>
      <w:r>
        <w:separator/>
      </w:r>
    </w:p>
  </w:endnote>
  <w:endnote w:type="continuationSeparator" w:id="0">
    <w:p w:rsidR="001077E6" w:rsidRDefault="00107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757" w:rsidRDefault="00565BBC">
    <w:pPr>
      <w:pBdr>
        <w:top w:val="nil"/>
        <w:left w:val="nil"/>
        <w:bottom w:val="nil"/>
        <w:right w:val="nil"/>
        <w:between w:val="nil"/>
      </w:pBdr>
      <w:tabs>
        <w:tab w:val="center" w:pos="4680"/>
        <w:tab w:val="right" w:pos="9360"/>
      </w:tabs>
      <w:spacing w:after="0" w:line="240" w:lineRule="auto"/>
      <w:jc w:val="center"/>
      <w:rPr>
        <w:color w:val="00000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515BB3">
      <w:rPr>
        <w:rFonts w:ascii="Times New Roman" w:eastAsia="Times New Roman" w:hAnsi="Times New Roman" w:cs="Times New Roman"/>
        <w:noProof/>
        <w:color w:val="000000"/>
        <w:sz w:val="20"/>
        <w:szCs w:val="20"/>
      </w:rPr>
      <w:t>71</w:t>
    </w:r>
    <w:r>
      <w:rPr>
        <w:rFonts w:ascii="Times New Roman" w:eastAsia="Times New Roman" w:hAnsi="Times New Roman" w:cs="Times New Roman"/>
        <w:color w:val="000000"/>
        <w:sz w:val="20"/>
        <w:szCs w:val="20"/>
      </w:rPr>
      <w:fldChar w:fldCharType="end"/>
    </w:r>
  </w:p>
  <w:p w:rsidR="00495757" w:rsidRDefault="00565BBC">
    <w:pPr>
      <w:pBdr>
        <w:top w:val="nil"/>
        <w:left w:val="nil"/>
        <w:bottom w:val="nil"/>
        <w:right w:val="nil"/>
        <w:between w:val="nil"/>
      </w:pBdr>
      <w:tabs>
        <w:tab w:val="center" w:pos="4680"/>
        <w:tab w:val="right" w:pos="9360"/>
      </w:tabs>
      <w:spacing w:after="0" w:line="240" w:lineRule="auto"/>
      <w:jc w:val="right"/>
      <w:rPr>
        <w:color w:val="000000"/>
      </w:rPr>
    </w:pPr>
    <w:r>
      <w:rPr>
        <w:rFonts w:ascii="Times New Roman" w:eastAsia="Times New Roman" w:hAnsi="Times New Roman" w:cs="Times New Roman"/>
        <w:color w:val="000000"/>
        <w:sz w:val="12"/>
        <w:szCs w:val="12"/>
      </w:rPr>
      <w:t>©IPG Kampus Tengku Ampuan Afzan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5444307"/>
      <w:docPartObj>
        <w:docPartGallery w:val="Page Numbers (Bottom of Page)"/>
        <w:docPartUnique/>
      </w:docPartObj>
    </w:sdtPr>
    <w:sdtEndPr>
      <w:rPr>
        <w:noProof/>
      </w:rPr>
    </w:sdtEndPr>
    <w:sdtContent>
      <w:p w:rsidR="00D67E9D" w:rsidRDefault="00D67E9D">
        <w:pPr>
          <w:pStyle w:val="Footer"/>
          <w:jc w:val="center"/>
        </w:pPr>
        <w:r>
          <w:fldChar w:fldCharType="begin"/>
        </w:r>
        <w:r>
          <w:instrText xml:space="preserve"> PAGE   \* MERGEFORMAT </w:instrText>
        </w:r>
        <w:r>
          <w:fldChar w:fldCharType="separate"/>
        </w:r>
        <w:r>
          <w:rPr>
            <w:noProof/>
          </w:rPr>
          <w:t>66</w:t>
        </w:r>
        <w:r>
          <w:rPr>
            <w:noProof/>
          </w:rPr>
          <w:fldChar w:fldCharType="end"/>
        </w:r>
      </w:p>
    </w:sdtContent>
  </w:sdt>
  <w:p w:rsidR="00D67E9D" w:rsidRDefault="00D67E9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77E6" w:rsidRDefault="001077E6">
      <w:pPr>
        <w:spacing w:after="0" w:line="240" w:lineRule="auto"/>
      </w:pPr>
      <w:r>
        <w:separator/>
      </w:r>
    </w:p>
  </w:footnote>
  <w:footnote w:type="continuationSeparator" w:id="0">
    <w:p w:rsidR="001077E6" w:rsidRDefault="001077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757" w:rsidRDefault="00495757">
    <w:pPr>
      <w:widowControl w:val="0"/>
      <w:pBdr>
        <w:top w:val="nil"/>
        <w:left w:val="nil"/>
        <w:bottom w:val="nil"/>
        <w:right w:val="nil"/>
        <w:between w:val="nil"/>
      </w:pBdr>
      <w:spacing w:after="0" w:line="276" w:lineRule="auto"/>
      <w:rPr>
        <w:color w:val="000000"/>
        <w:sz w:val="20"/>
        <w:szCs w:val="20"/>
      </w:rPr>
    </w:pPr>
  </w:p>
  <w:tbl>
    <w:tblPr>
      <w:tblStyle w:val="a4"/>
      <w:tblW w:w="9350" w:type="dxa"/>
      <w:tblInd w:w="-108" w:type="dxa"/>
      <w:tblBorders>
        <w:top w:val="nil"/>
        <w:left w:val="nil"/>
        <w:bottom w:val="nil"/>
        <w:right w:val="nil"/>
        <w:insideH w:val="nil"/>
        <w:insideV w:val="nil"/>
      </w:tblBorders>
      <w:shd w:val="clear" w:color="auto" w:fill="AEAAAA" w:themeFill="background2" w:themeFillShade="BF"/>
      <w:tblLayout w:type="fixed"/>
      <w:tblLook w:val="0400" w:firstRow="0" w:lastRow="0" w:firstColumn="0" w:lastColumn="0" w:noHBand="0" w:noVBand="1"/>
    </w:tblPr>
    <w:tblGrid>
      <w:gridCol w:w="3116"/>
      <w:gridCol w:w="3117"/>
      <w:gridCol w:w="3117"/>
    </w:tblGrid>
    <w:tr w:rsidR="00495757" w:rsidTr="008E5101">
      <w:trPr>
        <w:trHeight w:val="864"/>
      </w:trPr>
      <w:tc>
        <w:tcPr>
          <w:tcW w:w="9350" w:type="dxa"/>
          <w:gridSpan w:val="3"/>
          <w:shd w:val="clear" w:color="auto" w:fill="AEAAAA" w:themeFill="background2" w:themeFillShade="BF"/>
          <w:vAlign w:val="center"/>
        </w:tcPr>
        <w:p w:rsidR="00495757" w:rsidRPr="004C5AF2" w:rsidRDefault="004C5AF2">
          <w:pPr>
            <w:pBdr>
              <w:top w:val="nil"/>
              <w:left w:val="nil"/>
              <w:bottom w:val="nil"/>
              <w:right w:val="nil"/>
              <w:between w:val="nil"/>
            </w:pBdr>
            <w:tabs>
              <w:tab w:val="center" w:pos="4680"/>
              <w:tab w:val="right" w:pos="9360"/>
            </w:tabs>
            <w:jc w:val="center"/>
            <w:rPr>
              <w:rFonts w:ascii="Times New Roman" w:eastAsia="Times New Roman" w:hAnsi="Times New Roman" w:cs="Times New Roman"/>
              <w:b/>
              <w:color w:val="000000" w:themeColor="text1"/>
              <w:sz w:val="26"/>
              <w:szCs w:val="26"/>
            </w:rPr>
          </w:pPr>
          <w:r w:rsidRPr="004C5AF2">
            <w:rPr>
              <w:noProof/>
              <w:color w:val="000000" w:themeColor="text1"/>
              <w:lang w:val="en-US"/>
            </w:rPr>
            <w:drawing>
              <wp:anchor distT="0" distB="0" distL="114300" distR="114300" simplePos="0" relativeHeight="251658240" behindDoc="0" locked="0" layoutInCell="1" hidden="0" allowOverlap="1" wp14:anchorId="7D31EE17" wp14:editId="7F87E6C2">
                <wp:simplePos x="0" y="0"/>
                <wp:positionH relativeFrom="column">
                  <wp:posOffset>4972050</wp:posOffset>
                </wp:positionH>
                <wp:positionV relativeFrom="paragraph">
                  <wp:posOffset>41275</wp:posOffset>
                </wp:positionV>
                <wp:extent cx="693420" cy="552450"/>
                <wp:effectExtent l="0" t="0" r="0" b="0"/>
                <wp:wrapNone/>
                <wp:docPr id="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693420" cy="552450"/>
                        </a:xfrm>
                        <a:prstGeom prst="rect">
                          <a:avLst/>
                        </a:prstGeom>
                        <a:ln/>
                      </pic:spPr>
                    </pic:pic>
                  </a:graphicData>
                </a:graphic>
                <wp14:sizeRelH relativeFrom="margin">
                  <wp14:pctWidth>0</wp14:pctWidth>
                </wp14:sizeRelH>
                <wp14:sizeRelV relativeFrom="margin">
                  <wp14:pctHeight>0</wp14:pctHeight>
                </wp14:sizeRelV>
              </wp:anchor>
            </w:drawing>
          </w:r>
          <w:r w:rsidR="00565BBC" w:rsidRPr="004C5AF2">
            <w:rPr>
              <w:rFonts w:ascii="Times New Roman" w:eastAsia="Times New Roman" w:hAnsi="Times New Roman" w:cs="Times New Roman"/>
              <w:b/>
              <w:color w:val="000000" w:themeColor="text1"/>
              <w:sz w:val="26"/>
              <w:szCs w:val="26"/>
            </w:rPr>
            <w:t>JURNAL PENYELIDIKAN JELAI</w:t>
          </w:r>
        </w:p>
        <w:p w:rsidR="00495757" w:rsidRDefault="00565BBC">
          <w:pPr>
            <w:pBdr>
              <w:top w:val="nil"/>
              <w:left w:val="nil"/>
              <w:bottom w:val="nil"/>
              <w:right w:val="nil"/>
              <w:between w:val="nil"/>
            </w:pBdr>
            <w:tabs>
              <w:tab w:val="center" w:pos="4680"/>
              <w:tab w:val="right" w:pos="9360"/>
            </w:tabs>
            <w:jc w:val="center"/>
            <w:rPr>
              <w:rFonts w:ascii="Times New Roman" w:eastAsia="Times New Roman" w:hAnsi="Times New Roman" w:cs="Times New Roman"/>
              <w:b/>
              <w:color w:val="FFFFFF"/>
              <w:sz w:val="20"/>
              <w:szCs w:val="20"/>
            </w:rPr>
          </w:pPr>
          <w:r>
            <w:rPr>
              <w:rFonts w:ascii="Times New Roman" w:eastAsia="Times New Roman" w:hAnsi="Times New Roman" w:cs="Times New Roman"/>
              <w:color w:val="000000"/>
              <w:sz w:val="14"/>
              <w:szCs w:val="14"/>
            </w:rPr>
            <w:t>Available online at https://jelaijournal.com/ejournal/index.php/main</w:t>
          </w:r>
        </w:p>
      </w:tc>
    </w:tr>
    <w:tr w:rsidR="00495757" w:rsidTr="008E5101">
      <w:trPr>
        <w:trHeight w:val="144"/>
      </w:trPr>
      <w:tc>
        <w:tcPr>
          <w:tcW w:w="3116" w:type="dxa"/>
          <w:shd w:val="clear" w:color="auto" w:fill="AEAAAA" w:themeFill="background2" w:themeFillShade="BF"/>
        </w:tcPr>
        <w:p w:rsidR="00495757" w:rsidRDefault="00565BBC">
          <w:pPr>
            <w:pBdr>
              <w:top w:val="nil"/>
              <w:left w:val="nil"/>
              <w:bottom w:val="nil"/>
              <w:right w:val="nil"/>
              <w:between w:val="nil"/>
            </w:pBdr>
            <w:tabs>
              <w:tab w:val="center" w:pos="4680"/>
              <w:tab w:val="right" w:pos="9360"/>
            </w:tabs>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VOLUME </w:t>
          </w:r>
          <w:r>
            <w:rPr>
              <w:rFonts w:ascii="Times New Roman" w:eastAsia="Times New Roman" w:hAnsi="Times New Roman" w:cs="Times New Roman"/>
              <w:b/>
              <w:sz w:val="20"/>
              <w:szCs w:val="20"/>
            </w:rPr>
            <w:t>17</w:t>
          </w:r>
          <w:r w:rsidR="00234A8C">
            <w:rPr>
              <w:rFonts w:ascii="Times New Roman" w:eastAsia="Times New Roman" w:hAnsi="Times New Roman" w:cs="Times New Roman"/>
              <w:b/>
              <w:sz w:val="20"/>
              <w:szCs w:val="20"/>
            </w:rPr>
            <w:t xml:space="preserve"> (1)</w:t>
          </w:r>
          <w:r>
            <w:rPr>
              <w:rFonts w:ascii="Times New Roman" w:eastAsia="Times New Roman" w:hAnsi="Times New Roman" w:cs="Times New Roman"/>
              <w:b/>
              <w:color w:val="000000"/>
              <w:sz w:val="20"/>
              <w:szCs w:val="20"/>
            </w:rPr>
            <w:t xml:space="preserve"> 202</w:t>
          </w:r>
          <w:r>
            <w:rPr>
              <w:rFonts w:ascii="Times New Roman" w:eastAsia="Times New Roman" w:hAnsi="Times New Roman" w:cs="Times New Roman"/>
              <w:b/>
              <w:sz w:val="20"/>
              <w:szCs w:val="20"/>
            </w:rPr>
            <w:t>4</w:t>
          </w:r>
        </w:p>
      </w:tc>
      <w:tc>
        <w:tcPr>
          <w:tcW w:w="3117" w:type="dxa"/>
          <w:shd w:val="clear" w:color="auto" w:fill="AEAAAA" w:themeFill="background2" w:themeFillShade="BF"/>
        </w:tcPr>
        <w:p w:rsidR="00495757" w:rsidRDefault="00495757">
          <w:pPr>
            <w:pBdr>
              <w:top w:val="nil"/>
              <w:left w:val="nil"/>
              <w:bottom w:val="nil"/>
              <w:right w:val="nil"/>
              <w:between w:val="nil"/>
            </w:pBdr>
            <w:tabs>
              <w:tab w:val="center" w:pos="4680"/>
              <w:tab w:val="right" w:pos="9360"/>
            </w:tabs>
            <w:rPr>
              <w:color w:val="000000"/>
            </w:rPr>
          </w:pPr>
        </w:p>
      </w:tc>
      <w:tc>
        <w:tcPr>
          <w:tcW w:w="3117" w:type="dxa"/>
          <w:shd w:val="clear" w:color="auto" w:fill="AEAAAA" w:themeFill="background2" w:themeFillShade="BF"/>
        </w:tcPr>
        <w:p w:rsidR="00495757" w:rsidRDefault="00495757">
          <w:pPr>
            <w:pBdr>
              <w:top w:val="nil"/>
              <w:left w:val="nil"/>
              <w:bottom w:val="nil"/>
              <w:right w:val="nil"/>
              <w:between w:val="nil"/>
            </w:pBdr>
            <w:tabs>
              <w:tab w:val="center" w:pos="4680"/>
              <w:tab w:val="right" w:pos="9360"/>
            </w:tabs>
            <w:jc w:val="right"/>
            <w:rPr>
              <w:rFonts w:ascii="Times New Roman" w:eastAsia="Times New Roman" w:hAnsi="Times New Roman" w:cs="Times New Roman"/>
              <w:b/>
              <w:color w:val="000000"/>
            </w:rPr>
          </w:pPr>
        </w:p>
      </w:tc>
    </w:tr>
  </w:tbl>
  <w:p w:rsidR="00495757" w:rsidRDefault="0049575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F734D"/>
    <w:multiLevelType w:val="multilevel"/>
    <w:tmpl w:val="62ACD84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2E1766"/>
    <w:multiLevelType w:val="multilevel"/>
    <w:tmpl w:val="8FD2F772"/>
    <w:lvl w:ilvl="0">
      <w:start w:val="1"/>
      <w:numFmt w:val="decimal"/>
      <w:pStyle w:val="HeadingA"/>
      <w:lvlText w:val="%1."/>
      <w:lvlJc w:val="left"/>
      <w:pPr>
        <w:ind w:left="360" w:hanging="360"/>
      </w:pPr>
    </w:lvl>
    <w:lvl w:ilvl="1">
      <w:start w:val="1"/>
      <w:numFmt w:val="decimal"/>
      <w:pStyle w:val="HeadingB"/>
      <w:lvlText w:val="%1.%2"/>
      <w:lvlJc w:val="left"/>
      <w:pPr>
        <w:ind w:left="357" w:hanging="357"/>
      </w:pPr>
      <w:rPr>
        <w:rFonts w:ascii="Times New Roman" w:eastAsia="Times New Roman" w:hAnsi="Times New Roman" w:cs="Times New Roman"/>
        <w:b w:val="0"/>
        <w:i/>
        <w:smallCaps w:val="0"/>
        <w:strike w:val="0"/>
        <w:u w:val="none"/>
        <w:vertAlign w:val="baseline"/>
      </w:rPr>
    </w:lvl>
    <w:lvl w:ilvl="2">
      <w:start w:val="1"/>
      <w:numFmt w:val="decimal"/>
      <w:pStyle w:val="HeadingC"/>
      <w:lvlText w:val="%1.%2.%3"/>
      <w:lvlJc w:val="left"/>
      <w:pPr>
        <w:ind w:left="567" w:hanging="567"/>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F2343FD"/>
    <w:multiLevelType w:val="multilevel"/>
    <w:tmpl w:val="F622F8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E1F1549"/>
    <w:multiLevelType w:val="multilevel"/>
    <w:tmpl w:val="ADCE51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2633122"/>
    <w:multiLevelType w:val="hybridMultilevel"/>
    <w:tmpl w:val="569E4FF8"/>
    <w:lvl w:ilvl="0" w:tplc="4409000F">
      <w:start w:val="1"/>
      <w:numFmt w:val="decimal"/>
      <w:lvlText w:val="%1."/>
      <w:lvlJc w:val="left"/>
      <w:pPr>
        <w:ind w:left="3150" w:hanging="360"/>
      </w:pPr>
      <w:rPr>
        <w:rFonts w:hint="default"/>
      </w:rPr>
    </w:lvl>
    <w:lvl w:ilvl="1" w:tplc="44090019" w:tentative="1">
      <w:start w:val="1"/>
      <w:numFmt w:val="lowerLetter"/>
      <w:lvlText w:val="%2."/>
      <w:lvlJc w:val="left"/>
      <w:pPr>
        <w:ind w:left="3870" w:hanging="360"/>
      </w:pPr>
    </w:lvl>
    <w:lvl w:ilvl="2" w:tplc="4409001B" w:tentative="1">
      <w:start w:val="1"/>
      <w:numFmt w:val="lowerRoman"/>
      <w:lvlText w:val="%3."/>
      <w:lvlJc w:val="right"/>
      <w:pPr>
        <w:ind w:left="4590" w:hanging="180"/>
      </w:pPr>
    </w:lvl>
    <w:lvl w:ilvl="3" w:tplc="4409000F" w:tentative="1">
      <w:start w:val="1"/>
      <w:numFmt w:val="decimal"/>
      <w:lvlText w:val="%4."/>
      <w:lvlJc w:val="left"/>
      <w:pPr>
        <w:ind w:left="5310" w:hanging="360"/>
      </w:pPr>
    </w:lvl>
    <w:lvl w:ilvl="4" w:tplc="44090019" w:tentative="1">
      <w:start w:val="1"/>
      <w:numFmt w:val="lowerLetter"/>
      <w:lvlText w:val="%5."/>
      <w:lvlJc w:val="left"/>
      <w:pPr>
        <w:ind w:left="6030" w:hanging="360"/>
      </w:pPr>
    </w:lvl>
    <w:lvl w:ilvl="5" w:tplc="4409001B" w:tentative="1">
      <w:start w:val="1"/>
      <w:numFmt w:val="lowerRoman"/>
      <w:lvlText w:val="%6."/>
      <w:lvlJc w:val="right"/>
      <w:pPr>
        <w:ind w:left="6750" w:hanging="180"/>
      </w:pPr>
    </w:lvl>
    <w:lvl w:ilvl="6" w:tplc="4409000F" w:tentative="1">
      <w:start w:val="1"/>
      <w:numFmt w:val="decimal"/>
      <w:lvlText w:val="%7."/>
      <w:lvlJc w:val="left"/>
      <w:pPr>
        <w:ind w:left="7470" w:hanging="360"/>
      </w:pPr>
    </w:lvl>
    <w:lvl w:ilvl="7" w:tplc="44090019" w:tentative="1">
      <w:start w:val="1"/>
      <w:numFmt w:val="lowerLetter"/>
      <w:lvlText w:val="%8."/>
      <w:lvlJc w:val="left"/>
      <w:pPr>
        <w:ind w:left="8190" w:hanging="360"/>
      </w:pPr>
    </w:lvl>
    <w:lvl w:ilvl="8" w:tplc="4409001B" w:tentative="1">
      <w:start w:val="1"/>
      <w:numFmt w:val="lowerRoman"/>
      <w:lvlText w:val="%9."/>
      <w:lvlJc w:val="right"/>
      <w:pPr>
        <w:ind w:left="8910" w:hanging="180"/>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757"/>
    <w:rsid w:val="000D1F5C"/>
    <w:rsid w:val="001077E6"/>
    <w:rsid w:val="00146DBF"/>
    <w:rsid w:val="001D40E2"/>
    <w:rsid w:val="001E698F"/>
    <w:rsid w:val="00234A8C"/>
    <w:rsid w:val="00257607"/>
    <w:rsid w:val="002A04BB"/>
    <w:rsid w:val="003263A9"/>
    <w:rsid w:val="00354D4A"/>
    <w:rsid w:val="00446F13"/>
    <w:rsid w:val="00495757"/>
    <w:rsid w:val="004C5AF2"/>
    <w:rsid w:val="004F6A97"/>
    <w:rsid w:val="00515BB3"/>
    <w:rsid w:val="00565BBC"/>
    <w:rsid w:val="005739C9"/>
    <w:rsid w:val="00592CAE"/>
    <w:rsid w:val="005C3B4D"/>
    <w:rsid w:val="005C74A8"/>
    <w:rsid w:val="006F5C8D"/>
    <w:rsid w:val="007070AB"/>
    <w:rsid w:val="00776E0D"/>
    <w:rsid w:val="007C2190"/>
    <w:rsid w:val="00844BEF"/>
    <w:rsid w:val="00847052"/>
    <w:rsid w:val="008D702B"/>
    <w:rsid w:val="008E5101"/>
    <w:rsid w:val="00A86965"/>
    <w:rsid w:val="00AE2E37"/>
    <w:rsid w:val="00B62C04"/>
    <w:rsid w:val="00CD18A1"/>
    <w:rsid w:val="00D16E7D"/>
    <w:rsid w:val="00D42051"/>
    <w:rsid w:val="00D67E9D"/>
    <w:rsid w:val="00DD62FE"/>
    <w:rsid w:val="00DD6CEA"/>
    <w:rsid w:val="00E750DC"/>
    <w:rsid w:val="00E81D0B"/>
    <w:rsid w:val="00ED22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27088F"/>
  <w15:docId w15:val="{1B5E5AED-6564-4B94-AC34-203B952A2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ms-MY"/>
    </w:rPr>
  </w:style>
  <w:style w:type="paragraph" w:styleId="Heading1">
    <w:name w:val="heading 1"/>
    <w:basedOn w:val="Normal"/>
    <w:next w:val="Normal"/>
    <w:link w:val="Heading1Char"/>
    <w:uiPriority w:val="9"/>
    <w:qFormat/>
    <w:rsid w:val="00234A8C"/>
    <w:pPr>
      <w:keepNext/>
      <w:keepLines/>
      <w:spacing w:before="240" w:after="0"/>
      <w:jc w:val="center"/>
      <w:outlineLvl w:val="0"/>
    </w:pPr>
    <w:rPr>
      <w:rFonts w:ascii="Times New Roman" w:eastAsiaTheme="majorEastAsia" w:hAnsi="Times New Roman" w:cstheme="majorBidi"/>
      <w:b/>
      <w:sz w:val="20"/>
      <w:szCs w:val="32"/>
    </w:rPr>
  </w:style>
  <w:style w:type="paragraph" w:styleId="Heading2">
    <w:name w:val="heading 2"/>
    <w:basedOn w:val="Normal"/>
    <w:next w:val="Normal"/>
    <w:link w:val="Heading2Char"/>
    <w:uiPriority w:val="9"/>
    <w:unhideWhenUsed/>
    <w:qFormat/>
    <w:rsid w:val="001D40E2"/>
    <w:pPr>
      <w:keepNext/>
      <w:keepLines/>
      <w:spacing w:before="40" w:after="0"/>
      <w:outlineLvl w:val="1"/>
    </w:pPr>
    <w:rPr>
      <w:rFonts w:ascii="Times New Roman" w:eastAsiaTheme="majorEastAsia" w:hAnsi="Times New Roman" w:cstheme="majorBidi"/>
      <w:b/>
      <w:sz w:val="20"/>
      <w:szCs w:val="26"/>
    </w:rPr>
  </w:style>
  <w:style w:type="paragraph" w:styleId="Heading3">
    <w:name w:val="heading 3"/>
    <w:basedOn w:val="Normal"/>
    <w:next w:val="Normal"/>
    <w:link w:val="Heading3Char"/>
    <w:uiPriority w:val="9"/>
    <w:semiHidden/>
    <w:unhideWhenUsed/>
    <w:qFormat/>
    <w:rsid w:val="00936BA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C63C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3CD4"/>
    <w:rPr>
      <w:lang w:val="ms-MY"/>
    </w:rPr>
  </w:style>
  <w:style w:type="paragraph" w:styleId="Footer">
    <w:name w:val="footer"/>
    <w:basedOn w:val="Normal"/>
    <w:link w:val="FooterChar"/>
    <w:uiPriority w:val="99"/>
    <w:unhideWhenUsed/>
    <w:rsid w:val="00C63C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3CD4"/>
    <w:rPr>
      <w:lang w:val="ms-MY"/>
    </w:rPr>
  </w:style>
  <w:style w:type="table" w:styleId="TableGrid">
    <w:name w:val="Table Grid"/>
    <w:basedOn w:val="TableNormal"/>
    <w:uiPriority w:val="39"/>
    <w:rsid w:val="00C63C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E7520"/>
    <w:rPr>
      <w:vertAlign w:val="superscript"/>
    </w:rPr>
  </w:style>
  <w:style w:type="paragraph" w:customStyle="1" w:styleId="Abstract">
    <w:name w:val="Abstract"/>
    <w:basedOn w:val="Normal"/>
    <w:link w:val="AbstractChar"/>
    <w:qFormat/>
    <w:rsid w:val="007E3489"/>
    <w:pPr>
      <w:spacing w:after="0" w:line="220" w:lineRule="exact"/>
      <w:jc w:val="both"/>
    </w:pPr>
    <w:rPr>
      <w:rFonts w:ascii="Times New Roman" w:eastAsia="SimSun" w:hAnsi="Times New Roman" w:cs="Times New Roman"/>
      <w:sz w:val="18"/>
      <w:szCs w:val="20"/>
      <w:lang w:val="en-US"/>
    </w:rPr>
  </w:style>
  <w:style w:type="character" w:customStyle="1" w:styleId="AbstractChar">
    <w:name w:val="Abstract Char"/>
    <w:basedOn w:val="DefaultParagraphFont"/>
    <w:link w:val="Abstract"/>
    <w:rsid w:val="007E3489"/>
    <w:rPr>
      <w:rFonts w:ascii="Times New Roman" w:eastAsia="SimSun" w:hAnsi="Times New Roman" w:cs="Times New Roman"/>
      <w:sz w:val="18"/>
      <w:szCs w:val="20"/>
    </w:rPr>
  </w:style>
  <w:style w:type="paragraph" w:styleId="FootnoteText">
    <w:name w:val="footnote text"/>
    <w:basedOn w:val="Normal"/>
    <w:link w:val="FootnoteTextChar"/>
    <w:uiPriority w:val="99"/>
    <w:semiHidden/>
    <w:unhideWhenUsed/>
    <w:rsid w:val="007E34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3489"/>
    <w:rPr>
      <w:sz w:val="20"/>
      <w:szCs w:val="20"/>
      <w:lang w:val="ms-MY"/>
    </w:rPr>
  </w:style>
  <w:style w:type="paragraph" w:customStyle="1" w:styleId="HeadingA">
    <w:name w:val="Heading A"/>
    <w:basedOn w:val="Heading1"/>
    <w:qFormat/>
    <w:rsid w:val="00936BAA"/>
    <w:pPr>
      <w:keepNext w:val="0"/>
      <w:keepLines w:val="0"/>
      <w:numPr>
        <w:numId w:val="2"/>
      </w:numPr>
      <w:tabs>
        <w:tab w:val="num" w:pos="360"/>
      </w:tabs>
      <w:spacing w:after="240" w:line="240" w:lineRule="exact"/>
      <w:ind w:left="0" w:firstLine="0"/>
    </w:pPr>
    <w:rPr>
      <w:b w:val="0"/>
      <w:lang w:val="en-GB"/>
    </w:rPr>
  </w:style>
  <w:style w:type="paragraph" w:customStyle="1" w:styleId="HeadingB">
    <w:name w:val="Heading B"/>
    <w:basedOn w:val="Heading2"/>
    <w:qFormat/>
    <w:rsid w:val="00936BAA"/>
    <w:pPr>
      <w:numPr>
        <w:ilvl w:val="1"/>
        <w:numId w:val="2"/>
      </w:numPr>
      <w:tabs>
        <w:tab w:val="num" w:pos="360"/>
      </w:tabs>
      <w:spacing w:before="240" w:after="240" w:line="240" w:lineRule="auto"/>
      <w:ind w:left="0" w:firstLine="0"/>
    </w:pPr>
    <w:rPr>
      <w:i/>
      <w:lang w:val="en-GB"/>
    </w:rPr>
  </w:style>
  <w:style w:type="paragraph" w:customStyle="1" w:styleId="HeadingC">
    <w:name w:val="Heading C"/>
    <w:basedOn w:val="Heading3"/>
    <w:qFormat/>
    <w:rsid w:val="00936BAA"/>
    <w:pPr>
      <w:keepLines w:val="0"/>
      <w:numPr>
        <w:ilvl w:val="2"/>
        <w:numId w:val="2"/>
      </w:numPr>
      <w:tabs>
        <w:tab w:val="num" w:pos="360"/>
      </w:tabs>
      <w:spacing w:before="240" w:after="240" w:line="240" w:lineRule="exact"/>
      <w:ind w:left="0" w:firstLine="0"/>
    </w:pPr>
    <w:rPr>
      <w:rFonts w:ascii="Times New Roman" w:eastAsia="SimSun" w:hAnsi="Times New Roman" w:cs="Times New Roman"/>
      <w:i/>
      <w:color w:val="auto"/>
      <w:sz w:val="20"/>
      <w:lang w:val="en-GB"/>
    </w:rPr>
  </w:style>
  <w:style w:type="character" w:customStyle="1" w:styleId="Heading1Char">
    <w:name w:val="Heading 1 Char"/>
    <w:basedOn w:val="DefaultParagraphFont"/>
    <w:link w:val="Heading1"/>
    <w:uiPriority w:val="9"/>
    <w:rsid w:val="00234A8C"/>
    <w:rPr>
      <w:rFonts w:ascii="Times New Roman" w:eastAsiaTheme="majorEastAsia" w:hAnsi="Times New Roman" w:cstheme="majorBidi"/>
      <w:b/>
      <w:sz w:val="20"/>
      <w:szCs w:val="32"/>
      <w:lang w:val="ms-MY"/>
    </w:rPr>
  </w:style>
  <w:style w:type="character" w:customStyle="1" w:styleId="Heading2Char">
    <w:name w:val="Heading 2 Char"/>
    <w:basedOn w:val="DefaultParagraphFont"/>
    <w:link w:val="Heading2"/>
    <w:uiPriority w:val="9"/>
    <w:rsid w:val="001D40E2"/>
    <w:rPr>
      <w:rFonts w:ascii="Times New Roman" w:eastAsiaTheme="majorEastAsia" w:hAnsi="Times New Roman" w:cstheme="majorBidi"/>
      <w:b/>
      <w:sz w:val="20"/>
      <w:szCs w:val="26"/>
      <w:lang w:val="ms-MY"/>
    </w:rPr>
  </w:style>
  <w:style w:type="character" w:customStyle="1" w:styleId="Heading3Char">
    <w:name w:val="Heading 3 Char"/>
    <w:basedOn w:val="DefaultParagraphFont"/>
    <w:link w:val="Heading3"/>
    <w:uiPriority w:val="9"/>
    <w:semiHidden/>
    <w:rsid w:val="00936BAA"/>
    <w:rPr>
      <w:rFonts w:asciiTheme="majorHAnsi" w:eastAsiaTheme="majorEastAsia" w:hAnsiTheme="majorHAnsi" w:cstheme="majorBidi"/>
      <w:color w:val="1F4D78" w:themeColor="accent1" w:themeShade="7F"/>
      <w:sz w:val="24"/>
      <w:szCs w:val="24"/>
      <w:lang w:val="ms-MY"/>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pPr>
      <w:spacing w:after="0" w:line="240" w:lineRule="auto"/>
    </w:pPr>
    <w:tblPr>
      <w:tblStyleRowBandSize w:val="1"/>
      <w:tblStyleColBandSize w:val="1"/>
    </w:tblPr>
  </w:style>
  <w:style w:type="paragraph" w:styleId="ListParagraph">
    <w:name w:val="List Paragraph"/>
    <w:basedOn w:val="Normal"/>
    <w:uiPriority w:val="34"/>
    <w:qFormat/>
    <w:rsid w:val="000D1F5C"/>
    <w:pPr>
      <w:spacing w:after="200" w:line="276" w:lineRule="auto"/>
      <w:ind w:left="720"/>
      <w:contextualSpacing/>
    </w:pPr>
    <w:rPr>
      <w:rFonts w:asciiTheme="minorHAnsi" w:eastAsiaTheme="minorHAnsi" w:hAnsiTheme="minorHAnsi" w:cstheme="minorBidi"/>
      <w:lang w:val="en-MY"/>
    </w:rPr>
  </w:style>
  <w:style w:type="character" w:styleId="Emphasis">
    <w:name w:val="Emphasis"/>
    <w:basedOn w:val="DefaultParagraphFont"/>
    <w:uiPriority w:val="20"/>
    <w:qFormat/>
    <w:rsid w:val="00E750DC"/>
    <w:rPr>
      <w:i/>
      <w:iCs/>
    </w:rPr>
  </w:style>
  <w:style w:type="character" w:styleId="Hyperlink">
    <w:name w:val="Hyperlink"/>
    <w:basedOn w:val="DefaultParagraphFont"/>
    <w:uiPriority w:val="99"/>
    <w:unhideWhenUsed/>
    <w:rsid w:val="00E750DC"/>
    <w:rPr>
      <w:color w:val="0000FF"/>
      <w:u w:val="single"/>
    </w:rPr>
  </w:style>
  <w:style w:type="table" w:styleId="PlainTable2">
    <w:name w:val="Plain Table 2"/>
    <w:basedOn w:val="TableNormal"/>
    <w:uiPriority w:val="42"/>
    <w:rsid w:val="00D16E7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2">
    <w:name w:val="List Table 2"/>
    <w:basedOn w:val="TableNormal"/>
    <w:uiPriority w:val="47"/>
    <w:rsid w:val="00D16E7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
    <w:name w:val="Grid Table 2"/>
    <w:basedOn w:val="TableNormal"/>
    <w:uiPriority w:val="47"/>
    <w:rsid w:val="00D16E7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
    <w:name w:val="List Table 7 Colorful"/>
    <w:basedOn w:val="TableNormal"/>
    <w:uiPriority w:val="52"/>
    <w:rsid w:val="006F5C8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4F6A9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146DB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47405/mjssh.v7i6.1559"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oi.org/10.35631/ijepc.745004"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31004/jpdk.v3i2.1628"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doi.org/10.23887/ap.v5i2.17412"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doi.org/10.22452/sejarah.vol26no1.3" TargetMode="External"/><Relationship Id="rId14" Type="http://schemas.openxmlformats.org/officeDocument/2006/relationships/hyperlink" Target="https://doi.org/10.23887/jfi.v2i3.2218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Y6RaBdOZkufwBY4NpysF7/db5w==">CgMxLjAyCGguZ2pkZ3hzMg5oLmRtaG5tbWJzd3dnMzgAciExMEpnR1RKRnZoMmtaX1lfRmY4cDhxOC1kSV9UQ0xucXE=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882218E-7ED1-4126-B9CA-21F4D586C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4238</Words>
  <Characters>24163</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2024-12-05T03:22:00Z</dcterms:created>
  <dcterms:modified xsi:type="dcterms:W3CDTF">2024-12-10T07:16:00Z</dcterms:modified>
</cp:coreProperties>
</file>