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95757" w:rsidRDefault="001E698F">
            <w:pPr>
              <w:jc w:val="center"/>
              <w:rPr>
                <w:rFonts w:ascii="Times New Roman" w:eastAsia="Times New Roman" w:hAnsi="Times New Roman" w:cs="Times New Roman"/>
                <w:b/>
              </w:rPr>
            </w:pPr>
            <w:r w:rsidRPr="001E698F">
              <w:rPr>
                <w:rFonts w:ascii="Times New Roman" w:eastAsia="Times New Roman" w:hAnsi="Times New Roman" w:cs="Times New Roman"/>
                <w:b/>
              </w:rPr>
              <w:t>KEPENTINGAN DAN PERANAN PENDIDIKAN SEJARAH DALAM MEMBINA ETOS BANGSA GENERASI MUDA DI MALAYSIA</w:t>
            </w:r>
          </w:p>
        </w:tc>
      </w:tr>
      <w:tr w:rsidR="00495757">
        <w:trPr>
          <w:trHeight w:val="1152"/>
        </w:trPr>
        <w:tc>
          <w:tcPr>
            <w:tcW w:w="9360" w:type="dxa"/>
            <w:gridSpan w:val="2"/>
            <w:vAlign w:val="center"/>
          </w:tcPr>
          <w:p w:rsidR="00446F13" w:rsidRPr="00D67E9D" w:rsidRDefault="00446F13" w:rsidP="00446F13">
            <w:pPr>
              <w:jc w:val="center"/>
              <w:rPr>
                <w:rFonts w:ascii="Times New Roman" w:eastAsia="Times New Roman" w:hAnsi="Times New Roman" w:cs="Times New Roman"/>
              </w:rPr>
            </w:pPr>
            <w:r w:rsidRPr="00D67E9D">
              <w:rPr>
                <w:rFonts w:ascii="Times New Roman" w:eastAsia="Times New Roman" w:hAnsi="Times New Roman" w:cs="Times New Roman"/>
              </w:rPr>
              <w:t>Tarshni Vadivelu , Mohd Mahzan Awang , Anuar Ahmad</w:t>
            </w:r>
          </w:p>
          <w:p w:rsidR="00446F13" w:rsidRPr="00D67E9D" w:rsidRDefault="00446F13" w:rsidP="00446F13">
            <w:pPr>
              <w:jc w:val="center"/>
              <w:rPr>
                <w:rFonts w:ascii="Times New Roman" w:eastAsia="Times New Roman" w:hAnsi="Times New Roman" w:cs="Times New Roman"/>
              </w:rPr>
            </w:pPr>
            <w:r w:rsidRPr="00D67E9D">
              <w:rPr>
                <w:rFonts w:ascii="Times New Roman" w:eastAsia="Times New Roman" w:hAnsi="Times New Roman" w:cs="Times New Roman"/>
              </w:rPr>
              <w:t xml:space="preserve">Universiti Kebangsaan Malaysia,Bangi </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D67E9D">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D67E9D">
                    <w:rPr>
                      <w:rFonts w:ascii="Times New Roman" w:eastAsia="Times New Roman" w:hAnsi="Times New Roman" w:cs="Times New Roman"/>
                    </w:rPr>
                    <w:t>CT</w:t>
                  </w:r>
                </w:p>
              </w:tc>
            </w:tr>
            <w:tr w:rsidR="00446F13">
              <w:tc>
                <w:tcPr>
                  <w:tcW w:w="2906" w:type="dxa"/>
                  <w:tcBorders>
                    <w:top w:val="single" w:sz="6" w:space="0" w:color="000000"/>
                    <w:bottom w:val="single" w:sz="6" w:space="0" w:color="000000"/>
                  </w:tcBorders>
                  <w:shd w:val="clear" w:color="auto" w:fill="auto"/>
                  <w:tcMar>
                    <w:top w:w="72" w:type="dxa"/>
                    <w:left w:w="115" w:type="dxa"/>
                    <w:right w:w="115" w:type="dxa"/>
                  </w:tcMar>
                </w:tcPr>
                <w:p w:rsidR="00446F13" w:rsidRPr="007C2190" w:rsidRDefault="00446F13" w:rsidP="00446F13">
                  <w:pPr>
                    <w:spacing w:line="200" w:lineRule="auto"/>
                    <w:rPr>
                      <w:rFonts w:ascii="Times New Roman" w:eastAsia="Times New Roman" w:hAnsi="Times New Roman" w:cs="Times New Roman"/>
                      <w:sz w:val="20"/>
                      <w:szCs w:val="18"/>
                    </w:rPr>
                  </w:pPr>
                  <w:r w:rsidRPr="007C2190">
                    <w:rPr>
                      <w:rFonts w:ascii="Times New Roman" w:eastAsia="Times New Roman" w:hAnsi="Times New Roman" w:cs="Times New Roman"/>
                      <w:i/>
                      <w:sz w:val="20"/>
                      <w:szCs w:val="18"/>
                    </w:rPr>
                    <w:t>Article history:</w:t>
                  </w:r>
                </w:p>
                <w:p w:rsidR="00446F13" w:rsidRPr="00ED2204" w:rsidRDefault="00446F13" w:rsidP="00446F13">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46F13" w:rsidRPr="00ED2204" w:rsidRDefault="00446F13" w:rsidP="00446F13">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46F13" w:rsidRPr="00ED2204" w:rsidRDefault="00446F13" w:rsidP="00446F13">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46F13" w:rsidRDefault="00446F13" w:rsidP="00446F13">
                  <w:pPr>
                    <w:spacing w:line="200" w:lineRule="auto"/>
                    <w:rPr>
                      <w:rFonts w:ascii="Times New Roman" w:eastAsia="Times New Roman" w:hAnsi="Times New Roman" w:cs="Times New Roman"/>
                    </w:rPr>
                  </w:pPr>
                </w:p>
              </w:tc>
              <w:tc>
                <w:tcPr>
                  <w:tcW w:w="262" w:type="dxa"/>
                  <w:shd w:val="clear" w:color="auto" w:fill="auto"/>
                </w:tcPr>
                <w:p w:rsidR="00446F13" w:rsidRDefault="00446F13" w:rsidP="00446F13">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446F13" w:rsidRPr="00446F13" w:rsidRDefault="00446F13" w:rsidP="00446F13">
                  <w:pPr>
                    <w:jc w:val="both"/>
                    <w:rPr>
                      <w:rFonts w:ascii="Times New Roman" w:eastAsia="Times New Roman" w:hAnsi="Times New Roman" w:cs="Times New Roman"/>
                      <w:b/>
                      <w:sz w:val="20"/>
                      <w:szCs w:val="20"/>
                    </w:rPr>
                  </w:pPr>
                  <w:r w:rsidRPr="00446F13">
                    <w:rPr>
                      <w:rFonts w:ascii="Times New Roman" w:eastAsia="Times New Roman" w:hAnsi="Times New Roman" w:cs="Times New Roman"/>
                      <w:sz w:val="20"/>
                      <w:szCs w:val="20"/>
                    </w:rPr>
                    <w:t>Kajian ini meneliti peranan pendidikan</w:t>
                  </w:r>
                  <w:r w:rsidRPr="00446F13">
                    <w:rPr>
                      <w:rFonts w:ascii="Times New Roman" w:eastAsia="Times New Roman" w:hAnsi="Times New Roman" w:cs="Times New Roman"/>
                      <w:b/>
                      <w:sz w:val="20"/>
                      <w:szCs w:val="20"/>
                    </w:rPr>
                    <w:t xml:space="preserve"> </w:t>
                  </w:r>
                  <w:r w:rsidRPr="00446F13">
                    <w:rPr>
                      <w:rFonts w:ascii="Times New Roman" w:eastAsia="Times New Roman" w:hAnsi="Times New Roman" w:cs="Times New Roman"/>
                      <w:sz w:val="20"/>
                      <w:szCs w:val="20"/>
                    </w:rPr>
                    <w:t>sejarah dalam membentuk etos kebangsaan di Malaysia. Pendidikan sejarah di Malaysia bertujuan untuk menyemai rasa bangga terhadap warisan budaya yang kaya dan menggalakkan perpaduan nasional dalam kalangan pelajar. Melalui kurikulum yang berstruktur, pendidikan sejarah bukan sahaja menyampaikan pengetahuan tentang peristiwa silam tetapi juga membentuk identiti, nilai, dan pemahaman tentang perpaduan dan kepelbagaian budaya. Walau bagaimanapun, sistem pendidikan menghadapi cabaran seperti bias dalam kandungan kurikulum, akses yang tidak sama rata kepada sumber pendidikan, dan keperluan untuk menyesuaikan diri dengan perubahan global dan teknologi. Tambahan pula, peranan media dan teknologi dalam menyampaikan naratif sejarah turut memberikan kesan yang besar, dengan platform digital dan media sosial menjadi alat penting dalam pembentukan dan penyebaran naratif sejarah. Etika dan ketulenan dalam representasi sejarah kekal sebagai isu penting, menuntut literasi digital dan sejarah yang kukuh untuk memastikan penglibatan yang bermaklumat dan bertanggungjawab. Kajian ini menekankan kepentingan pendidikan sejarah dalam membina masyarakat yang inklusif dan harmoni, serta mencadangkan keperluan untuk inovasi berterusan dalam pendekatan pengajaran sejarah bagi memenuhi keperluan dunia yang semakin kompleks dan saling berkaitan.</w:t>
                  </w:r>
                </w:p>
              </w:tc>
            </w:tr>
            <w:tr w:rsidR="00446F13">
              <w:tc>
                <w:tcPr>
                  <w:tcW w:w="2906" w:type="dxa"/>
                  <w:tcBorders>
                    <w:top w:val="single" w:sz="6" w:space="0" w:color="000000"/>
                    <w:bottom w:val="single" w:sz="6" w:space="0" w:color="000000"/>
                  </w:tcBorders>
                  <w:shd w:val="clear" w:color="auto" w:fill="auto"/>
                  <w:tcMar>
                    <w:top w:w="72" w:type="dxa"/>
                    <w:left w:w="115" w:type="dxa"/>
                    <w:right w:w="115" w:type="dxa"/>
                  </w:tcMar>
                </w:tcPr>
                <w:p w:rsidR="00446F13" w:rsidRPr="008E5101" w:rsidRDefault="00446F13" w:rsidP="00446F13">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446F13" w:rsidRPr="00446F13" w:rsidRDefault="00446F13" w:rsidP="00446F13">
                  <w:pPr>
                    <w:spacing w:before="240" w:line="200" w:lineRule="auto"/>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ETOS</w:t>
                  </w:r>
                </w:p>
                <w:p w:rsidR="00446F13" w:rsidRPr="00446F13" w:rsidRDefault="00446F13" w:rsidP="00446F13">
                  <w:pPr>
                    <w:spacing w:before="240" w:line="200" w:lineRule="auto"/>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Bangsa</w:t>
                  </w:r>
                </w:p>
                <w:p w:rsidR="00446F13" w:rsidRDefault="00446F13" w:rsidP="00446F13">
                  <w:pPr>
                    <w:spacing w:before="240" w:line="200" w:lineRule="auto"/>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Generasi Muda</w:t>
                  </w:r>
                </w:p>
                <w:p w:rsidR="00D67E9D" w:rsidRDefault="00D67E9D" w:rsidP="00446F13">
                  <w:pPr>
                    <w:spacing w:before="240" w:line="200" w:lineRule="auto"/>
                    <w:rPr>
                      <w:rFonts w:ascii="Times New Roman" w:eastAsia="Times New Roman" w:hAnsi="Times New Roman" w:cs="Times New Roman"/>
                      <w:sz w:val="20"/>
                      <w:szCs w:val="20"/>
                    </w:rPr>
                  </w:pPr>
                </w:p>
                <w:p w:rsidR="00D67E9D" w:rsidRPr="00446F13" w:rsidRDefault="00D67E9D" w:rsidP="00446F13">
                  <w:pPr>
                    <w:spacing w:before="240" w:line="200" w:lineRule="auto"/>
                    <w:rPr>
                      <w:rFonts w:ascii="Times New Roman" w:eastAsia="Times New Roman" w:hAnsi="Times New Roman" w:cs="Times New Roman"/>
                      <w:sz w:val="20"/>
                      <w:szCs w:val="20"/>
                    </w:rPr>
                  </w:pPr>
                  <w:bookmarkStart w:id="0" w:name="_GoBack"/>
                  <w:bookmarkEnd w:id="0"/>
                </w:p>
                <w:p w:rsidR="00446F13" w:rsidRPr="00446F13" w:rsidRDefault="00446F13" w:rsidP="00446F13">
                  <w:pPr>
                    <w:spacing w:before="240" w:line="20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6F13">
                    <w:rPr>
                      <w:rFonts w:ascii="Times New Roman" w:eastAsia="Times New Roman" w:hAnsi="Times New Roman" w:cs="Times New Roman"/>
                      <w:sz w:val="18"/>
                      <w:szCs w:val="18"/>
                    </w:rPr>
                    <w:t xml:space="preserve"> Corresponding author. </w:t>
                  </w:r>
                  <w:r w:rsidRPr="00446F13">
                    <w:rPr>
                      <w:rFonts w:ascii="Times New Roman" w:eastAsia="Times New Roman" w:hAnsi="Times New Roman" w:cs="Times New Roman"/>
                      <w:i/>
                      <w:sz w:val="18"/>
                      <w:szCs w:val="18"/>
                    </w:rPr>
                    <w:t>E-mail address</w:t>
                  </w:r>
                  <w:r w:rsidRPr="00446F13">
                    <w:rPr>
                      <w:rFonts w:ascii="Times New Roman" w:eastAsia="Times New Roman" w:hAnsi="Times New Roman" w:cs="Times New Roman"/>
                      <w:sz w:val="18"/>
                      <w:szCs w:val="18"/>
                    </w:rPr>
                    <w:t>: tarshni130499@gmail.com</w:t>
                  </w:r>
                </w:p>
              </w:tc>
              <w:tc>
                <w:tcPr>
                  <w:tcW w:w="262" w:type="dxa"/>
                  <w:tcBorders>
                    <w:bottom w:val="single" w:sz="6" w:space="0" w:color="000000"/>
                  </w:tcBorders>
                  <w:shd w:val="clear" w:color="auto" w:fill="auto"/>
                </w:tcPr>
                <w:p w:rsidR="00446F13" w:rsidRDefault="00446F13" w:rsidP="00446F13">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46F13" w:rsidRDefault="00446F13" w:rsidP="00446F13">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446F13" w:rsidRPr="00446F13" w:rsidRDefault="00446F13" w:rsidP="00446F13">
      <w:pPr>
        <w:spacing w:line="240" w:lineRule="auto"/>
        <w:jc w:val="center"/>
        <w:rPr>
          <w:rFonts w:ascii="Times New Roman" w:eastAsia="Times New Roman" w:hAnsi="Times New Roman" w:cs="Times New Roman"/>
          <w:b/>
          <w:sz w:val="20"/>
          <w:szCs w:val="20"/>
        </w:rPr>
      </w:pPr>
      <w:r w:rsidRPr="00446F13">
        <w:rPr>
          <w:rFonts w:ascii="Times New Roman" w:eastAsia="Times New Roman" w:hAnsi="Times New Roman" w:cs="Times New Roman"/>
          <w:b/>
          <w:sz w:val="20"/>
          <w:szCs w:val="20"/>
        </w:rPr>
        <w:t>PENGENALAN</w:t>
      </w:r>
    </w:p>
    <w:p w:rsidR="00446F13" w:rsidRPr="00446F13" w:rsidRDefault="00446F13" w:rsidP="00446F13">
      <w:pPr>
        <w:spacing w:line="240" w:lineRule="auto"/>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Malaysia, sebuah negara Asia Tenggara yang terletak di antara Thailand dan Indonesia, mempunyai warisan budaya yang kaya dan penduduk yang pelbagai terdiri daripada orang Melayu, Cina, India dan orang asli. Sejarah negara adalah permaidani yang ditenun daripada interaksi kompleks budaya pribumi, warisan penjajah, dan usaha pembinaan negara pasca kemerdekaan. Latar belakang sejarah yang rumit ini telah mempengaruhi pembentukan etos kebangsaan Malaysia, khususnya dalam kalangan demografi mudanya. Etos kebangsaan mewakili nilai kolektif, kepercayaan, dan identiti sesebuah negara, berfungsi sebagai kuasa penyatuan yang mengikat warganya bersama. Dalam konteks Malaysia, etos kebangsaan mencerminkan pengalaman, aspirasi, dan perjuangan rakyatnya yang dikongsi sepanjang sejarah (Sugiarta et al., 2019). Sejarah Malaysia dicirikan oleh permaidani kepelbagaian budaya dan kerumitan sejarah. Semenanjung Tanah Melayu, terletak di persimpangan laluan perdagangan purba, telah didiami selama beribu tahun oleh orang asli yang meninggalkan jejak mereka di tanah itu melalui bentuk seni yang rumit, amalan pertanian, dan struktur sosial. Kedatangan pedagang India dan Cina pada zaman dahulu memperkayakan lagi landskap budaya, memupuk pertukaran idea, agama dan bahasa yang rancak. Penyebaran Islam di rantau ini pada abad ke-14 membawa transformasi sosiobudaya yang mendalam, membentuk jati diri orang Melayu dan meletakkan asas kepada pembentukan kesultanan Melayu (Asyari &amp; Dewi, 2021).</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lastRenderedPageBreak/>
        <w:t>Istilah "etos kebangsaan" merangkumi nilai teras, kepercayaan dan cita-cita yang mentakrifkan identiti dan kesedaran kolektif sesebuah negara. Ia mencerminkan warisan, tradisi dan pengalaman yang dikongsi bersama yang mengikat populasi yang pelbagai di bawah identiti yang sama. Dalam konteks Malaysia, etos kebangsaan merangkumi semangat perpaduan dalam kepelbagaian, meraikan warisan pelbagai budaya negara sambil menggalakkan perpaduan sosial dan perpaduan nasional. Ia merangkumi prinsip saling menghormati, toleransi, dan keterangkuman, yang termaktub dalam perlembagaan negara dan dicerminkan dalam dasar dan institusinya (Asyari &amp; Dewi, 2021). Esei ini mengupas hubungan rumit antara sejarah dan pembentukan etos kebangsaan dalam kalangan generasi muda Malaysia. Dengan meneliti naratif sejarah, tradisi budaya, dan kerangka pendidikan yang membentuk identiti Malaysia, esei ini cuba menjelaskan faktor-faktor yang menyumbang kepada pembinaan etos kebangsaan. Melalui pendekatan pelbagai disiplin yang diambil daripada kajian sejarah, sosiologi dan budaya, esei ini bertujuan untuk merungkai kerumitan pembentukan identiti Malaysia dan implikasinya terhadap masa depan negara. Dengan menyelidiki masa lalu, kita boleh memperoleh pemahaman yang lebih mendalam tentang cabaran dan peluang masa kini yang dihadapi Malaysia ketika ia mengharungi kerumitan dunia yang berubah dengan pantas (Kaspin et al., 2022). Ringkasnya, permaidani budaya Malaysia yang kaya dan sejarah yang kompleks telah memainkan peranan penting dalam membentuk etos kebangsaannya. Dengan menerokai hubungan pelbagai rupa antara sejarah dan pembentukan identiti, kita boleh memperoleh pandangan berharga tentang faktor-faktor yang menyumbang kepada pembinaan identiti Malaysia. Melalui pemahaman yang bernuansa masa lalu, kita boleh membuka jalan kepada masyarakat Malaysia yang lebih inklusif, bersatu padu dan berdaya tahan yang menerima kepelbagaiannya dan meraikan warisan bersamanya (Kaspin et al., 2022).</w:t>
      </w:r>
    </w:p>
    <w:p w:rsidR="00446F13" w:rsidRPr="00446F13" w:rsidRDefault="00446F13" w:rsidP="00446F1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TINJAUAN </w:t>
      </w:r>
      <w:r w:rsidRPr="00446F13">
        <w:rPr>
          <w:rFonts w:ascii="Times New Roman" w:eastAsia="Times New Roman" w:hAnsi="Times New Roman" w:cs="Times New Roman"/>
          <w:b/>
          <w:sz w:val="20"/>
          <w:szCs w:val="20"/>
        </w:rPr>
        <w:t>LITERATUR</w:t>
      </w:r>
    </w:p>
    <w:p w:rsidR="00446F13" w:rsidRPr="00446F13" w:rsidRDefault="00446F13" w:rsidP="00446F13">
      <w:pPr>
        <w:spacing w:line="240" w:lineRule="auto"/>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Pembentukan Malaysia sebagai sebuah negara bangsa pada tahun 1963 menandakan detik penting dalam sejarah negara, yang sangat mempengaruhi etos kebangsaannya. Penggabungan Tanah Melayu, Sabah, Sarawak, dan Singapura mewakili usaha berani yang didorong oleh aspirasi kemerdekaan dan penentuan nasib sendiri. Walau bagaimanapun, proses ini tidak terlepas daripada cabaran, kerana ketegangan antara kumpulan etnik dan agama yang berbeza berterusan, mencerminkan kerumitan landskap sosio-politik Malaysia. Perjuangan untuk kemerdekaan dan usaha pembinaan negara seterusnya memainkan peranan penting dalam membentuk etos kebangsaan Malaysia, meletakkan asas untuk identiti kolektif yang berasaskan perpaduan, kepelbagaian dan daya tahan (Hidayat, 2020). Warisan kolonialisme telah meninggalkan kesan yang kekal pada identiti dan etos kebangsaan Malaysia. Tempoh penguasaan Eropah selama berabad-abad, ditandai dengan eksploitasi, penaklukan, dan asimilasi budaya, membentuk struktur sosio-ekonomi dan politik di rantau ini dengan mendalam. Pentadbiran kolonial British melaksanakan dasar pecah dan memerintah, memburukkan lagi ketegangan etnik dan agama dalam masyarakat Malaysia. Pengenaan klasifikasi kaum secara hierarki, seperti masyarakat Melayu, Cina, dan India, memperkukuh tanggapan identiti dan hierarki etnik, menyumbang kepada perpecahan kaum. Warisan kolonialisme terus mempengaruhi naratif kebangsaan Malaysia, menyemarakkan perdebatan mengenai identiti, warisan, dan pembangunan pasca colonial (Miftakhuddin, 2019). Kolonialisme secara asasnya mengubah struktur sosial, ekonomi dan politik Malaysia, meninggalkan kesan yang berkekalan pada identiti dan etos kebangsaannya. Pengenaan pemerintahan kolonial membawa transformasi yang mendalam dalam masyarakat Malaysia, termasuk perubahan dalam tadbir urus, pemilikan tanah, dan hubungan buruh. Pentadbiran kolonial British melaksanakan dasar pecah dan perintah, memupuk perpecahan etnik dan agama yang terus bergema dalam masyarakat Malaysia kontemporari. Warisan kolonialisme terbukti dengan berterusannya stereotaip kaum, jurang sosio-ekonomi, dan diskriminasi yang dilembagakan. Lebih-lebih lagi, legasi penjajahan terus membentuk naratif kebangsaan Malaysia, menyemarakkan perdebatan mengenai identiti, warisan, dan pembangunan pasca kolonial. Dengan memahami kerumitan masa lampau penjajah Malaysia, kita boleh memperoleh pandangan berharga tentang faktor-faktor yang telah membentuk etos kebangsaan dan identiti kolektifnya (Miftakhuddin, 2019). </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Rangka kerja pendidikan di Malaysia memainkan peranan penting dalam membentuk etos kebangsaan dengan menyampaikan pengetahuan, nilai dan kemahiran yang menyumbang kepada pembangunan masyarakat yang bersatu padu dan inklusif. Melalui kurikulum berstruktur dan inisiatif pendidikan, sistem pendidikan Malaysia bertujuan untuk menyemai semangat identiti nasional, kebanggaan, dan kekitaan dalam kalangan pelajar, di samping menggalakkan perpaduan, kepelbagaian dan persefahaman budaya. Walau bagaimanapun, rangka kerja pendidikan menghadapi cabaran seperti memastikan keterangkuman, menangani berat sebelah dalam kandungan kurikulum, dan menyesuaikan diri dengan tuntutan globalisasi dan kemajuan teknologi. Di sebalik cabaran ini, pendidikan kekal sebagai alat yang berkuasa untuk memupuk warganegara yang bermaklumat dan bertanggungjawab yang diperlengkapkan untuk menyumbang secara positif kepada fabrik sosiobudaya dan identiti kolektif Malaysia (Zamil et al., 2021). Pendidikan sejarah di Malaysia menghadapi cabaran dan peluang pada abad ke-21, dibentuk oleh globalisasi, kemajuan teknologi, dan perubahan dinamik masyarakat. Di satu pihak, percambahan sumber digital dan </w:t>
      </w:r>
      <w:r w:rsidRPr="00446F13">
        <w:rPr>
          <w:rFonts w:ascii="Times New Roman" w:eastAsia="Times New Roman" w:hAnsi="Times New Roman" w:cs="Times New Roman"/>
          <w:sz w:val="20"/>
          <w:szCs w:val="20"/>
        </w:rPr>
        <w:lastRenderedPageBreak/>
        <w:t xml:space="preserve">platform dalam talian memberikan peluang baharu kepada pendidik sejarah untuk melibatkan pelajar dalam pengalaman pembelajaran yang interaktif dan mendalam. Arkib digital, muzium maya dan tapak web pendidikan menawarkan akses kepada pelbagai maklumat sejarah dan sumber utama, memperkayakan proses pembelajaran dan membolehkan pelajar menganalisis dan mentafsir peristiwa sejarah secara kritis. Sebaliknya, zaman digital juga menimbulkan cabaran seperti penyebaran maklumat yang salah, penghakisan kaedah pengajaran tradisional, dan keperluan untuk menyesuaikan diri dengan teknologi pendidikan yang berkembang pesat. Selain itu, pendidikan sejarah di Malaysia mesti mengemudi isu sensitif seperti revisionisme sejarah, agenda politik, dan sensitiviti budaya, mengimbangi keperluan untuk ketepatan dan objektiviti dengan menghormati perspektif yang pelbagai. Di sebalik cabaran ini, pendidikan sejarah kekal penting dalam membentuk etos negara dan memperkasakan generasi akan datang dengan pengetahuan dan kemahiran untuk mengemudi dunia yang semakin kompleks dan saling berkaitan (Hidayat, 2020). </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Dalam era kontemporari, media dan teknologi memainkan peranan penting dalam membentuk naratif sejarah dan mempengaruhi persepsi orang ramai. Melalui pelbagai medium seperti media arus perdana, filem, kesusasteraan dan platform digital, peristiwa sejarah disebarkan kepada khalayak massa, membingkai tafsiran yang sama ada boleh mencerminkan norma masyarakat atau mencabar naratif yang dominan. Kemunculan platform digital seterusnya mendemokrasikan pengeluaran dan penyebaran naratif sejarah, membolehkan individu dan komuniti terlibat dalam penceritaan sejarah dan berkongsi perspektif yang pelbagai. Walau bagaimanapun, percambahan media digital ini juga menimbulkan kebimbangan mengenai ketulenan dan kebolehpercayaan maklumat sejarah, menonjolkan kepentingan penglibatan kritikal dan literasi digital dalam menavigasi kerumitan perwakilan sejarah dalam era digital (Hidayat, 2020). Media, termasuk televisyen, filem, sastera dan platform digital, mempunyai pengaruh yang signifikan dalam membentuk naratif sejarah dan persepsi orang ramai. Media arus perdana sering memainkan peranan penting dalam menyebarkan maklumat sejarah kepada khalayak ramai, merangka peristiwa, angka dan tafsiran dengan cara yang mencerminkan norma, nilai dan berat sebelah masyarakat. Drama sejarah, dokumentari dan biopik, sebagai contoh, mempunyai kuasa untuk meromantikkan atau memburuk-burukkan tokoh sejarah, memutarbelitkan peristiwa, atau meninggalkan butiran penting, sekali gus membentuk pemahaman dan ingatan orang ramai tentang masa lalu. Selain itu, kepentingan komersial industri media mungkin mengutamakan nilai hiburan berbanding ketepatan sejarah, yang membawa kepada gambaran yang disensasikan atau dipermudahkan tentang peristiwa sejarah yang kompleks (Asyari &amp; Dewi, 2021). Tambahan pula, percambahan platform media digital telah mendemokrasikan pengeluaran dan penyebaran naratif sejarah, membolehkan individu dan komuniti mencipta dan berkongsi tafsiran mereka tentang masa lalu. Walaupun pendemokrasian penceritaan sejarah ini boleh memperkayakan wacana sejarah dan mencabar naratif yang dominan, ia juga menimbulkan kebimbangan tentang penyebaran maklumat salah, revisionisme sejarah, dan penghakisan mekanisme penjaga pintu tradisional. Dalam menavigasi landskap pelbagai perwakilan media sejarah, literasi media kritikal menjadi penting bagi khalayak untuk membezakan antara fakta dan fiksyen, menganalisis berat sebelah, dan mengkontekstualisasikan naratif sejarah dalam konteks sosio-politik yang lebih luas. Secara keseluruhannya, representasi sejarah media memainkan peranan penting dalam membentuk persepsi awam dan ingatan kolektif, menonjolkan keperluan untuk penglibatan yang bernuansa dan kritikal dengan penceritaan sejarah dalam era digital.</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Dalam membentuk etos kebangsaan Malaysia, cabaran dan kontroversi berleluasa, mencerminkan landskap sosio-politik negara yang kompleks dan warisan budaya yang pelbagai. Ketegangan etnik dan agama berterusan, menimbulkan halangan penting untuk memupuk identiti nasional yang padu. Tafsiran sejarah selalunya penuh dengan kontroversi, kerana kumpulan berbeza berusaha untuk mempromosikan naratif dan agenda mereka sendiri, yang membawa kepada polarisasi dan perpecahan. Di samping itu, globalisasi memberikan peluang dan cabaran, kerana kemasukan pengaruh Barat dan integrasi ekonomi membentuk semula identiti dan masyarakat Malaysia. Di sebalik cabaran-cabaran ini, Malaysia menghadapi keperluan untuk mengemudi kerumitan ini, memupuk dialog, persefahaman dan perdamaian untuk membentuk etos nasional yang lebih inklusif dan padu yang meraikan kepelbagaian sambil menggalakkan perpaduan. Salah satu cabaran penting dalam membentuk etos kebangsaan Malaysia ialah kehadiran ketegangan etnik dan agama dalam masyarakat. Di sebalik warisan pelbagai budaya Malaysia, isu-isu seperti diskriminasi, prejudis, dan ketidaksamaan berterusan, menyemarakkan perpecahan dan menghalang usaha ke arah perpaduan negara. Polarisasi etnik, yang diburukkan lagi oleh dasar tindakan afirmatif dan politik identiti, sering membawa kepada perpecahan sosial dan ketidakpercayaan antara komuniti etnik yang berbeza. Begitu juga, ketegangan agama, khususnya antara majoriti penduduk Melayu Islam dan kumpulan agama minoriti, menimbulkan cabaran kepada identiti sekular dan etos pluralistik Malaysia. Insiden intoleransi agama, diskriminasi dan ekstremisme semakin merenggangkan hubungan antara agama dan menjejaskan usaha untuk menggalakkan sikap saling menghormati dan persefahaman. Menangani ketegangan etnik dan agama ini memerlukan pendekatan pelbagai </w:t>
      </w:r>
      <w:r w:rsidRPr="00446F13">
        <w:rPr>
          <w:rFonts w:ascii="Times New Roman" w:eastAsia="Times New Roman" w:hAnsi="Times New Roman" w:cs="Times New Roman"/>
          <w:sz w:val="20"/>
          <w:szCs w:val="20"/>
        </w:rPr>
        <w:lastRenderedPageBreak/>
        <w:t xml:space="preserve">aspek termasuk menggalakkan dialog antara budaya, memupuk empati dan toleransi, dan menangani ketidaksamaan dan ketidakadilan sistemik dalam masyarakat Malaysia (Asyari &amp; Dewi, 2021). </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Globalisasi telah banyak mempengaruhi etos kebangsaan Malaysia, memberi kesan kepada pelbagai aspek identiti, budaya dan masyarakat. Apabila Malaysia semakin saling berhubung dengan komuniti global, negara bergelut dengan kedua-dua peluang dan cabaran dalam menentukan dan mengekalkan identiti uniknya di tengah-tengah kuasa globalisasi. Satu kesan penting globalisasi terhadap identiti Malaysia ialah percambahan pengaruh budaya Barat, khususnya melalui media massa, hiburan dan kepenggunaan. Aliran pembaratan, yang ditunjukkan dalam pilihan budaya, fesyen dan gaya hidup popular, telah membawa kepada perubahan dalam norma dan nilai masyarakat, mencabar pembinaan identiti tradisional Malaysia. Pengaruh ini amat ketara dalam kalangan generasi muda, yang lebih terdedah kepada idea dan gaya hidup Barat melalui platform media digital dan rangkaian global. Akibatnya, terdapat ketegangan yang semakin meningkat antara memelihara nilai tradisional Malaysia dan menerima kosmopolitanisme yang dikaitkan dengan globalisasi (Abd. Rahim &amp; Binti Kahal, 2017). Tambahan pula, globalisasi telah mengubah landskap ekonomi Malaysia, membawa kepada peningkatan aliran perdagangan, pelaburan dan migrasi. Integrasi ekonomi ini telah menyumbang kepada kepelbagaian penduduk Malaysia, dengan kemasukan pekerja asing dan ekspatriat membentuk mozek budaya negara. Walaupun globalisasi ekonomi telah membawa kemakmuran dan peluang untuk pertumbuhan, ia juga telah memburukkan lagi jurang sosio-ekonomi dan ketegangan budaya dalam masyarakat Malaysia. Isu seperti ketidaksamaan pendapatan, perpindahan pekerjaan dan stratifikasi sosial mencabar tanggapan identiti nasional yang bersatu, ketika kumpulan berbeza mengharungi kerumitan impak globalisasi terhadap mata pencarian dan kesejahteraan mereka (Abd. Rahim &amp; Binti Kahal, 2017). Lebih-lebih lagi, globalisasi telah memudahkan pertukaran idea, pengetahuan dan maklumat merentasi sempadan, memupuk kesedaran dan kesalinghubungan yang lebih besar dalam kalangan rakyat Malaysia dengan masyarakat global. Rasa kewarganegaraan global yang semakin meningkat ini telah menggalakkan rakyat Malaysia menilai semula identiti nasional mereka dalam konteks transnasional yang lebih luas, merentasi sempadan tradisional etnik, agama dan geografi. Walau bagaimanapun, pandangan kosmopolitan ini juga menimbulkan persoalan tentang pemeliharaan budaya dan tradisi orang asli dalam menghadapi pengaruh global yang menghomogenkan. Kesimpulannya, globalisasi membentangkan kedua-dua peluang dan cabaran untuk identiti nasional Malaysia, ketika negara mengharungi kerumitan integrasi budaya, ekonomi dan sosial dalam dunia globalisasi. Walaupun globalisasi memperkayakan landskap budaya Malaysia dan menggalakkan kesedaran global, ia juga menimbulkan ancaman kepada pembinaan identiti tradisional dan memburukkan lagi jurang sosio-ekonomi. Melangkah ke hadapan, Malaysia mesti mencapai keseimbangan antara menerima manfaat globalisasi dan menjaga warisan budaya dan identiti nasionalnya dalam persekitaran global yang semakin saling berkaitan dan dinamik.</w:t>
      </w:r>
    </w:p>
    <w:p w:rsidR="00446F13" w:rsidRPr="00446F13" w:rsidRDefault="00446F13" w:rsidP="00446F13">
      <w:pPr>
        <w:spacing w:line="240" w:lineRule="auto"/>
        <w:jc w:val="both"/>
        <w:rPr>
          <w:rFonts w:ascii="Times New Roman" w:eastAsia="Times New Roman" w:hAnsi="Times New Roman" w:cs="Times New Roman"/>
          <w:sz w:val="20"/>
          <w:szCs w:val="20"/>
        </w:rPr>
      </w:pPr>
    </w:p>
    <w:p w:rsidR="00446F13" w:rsidRPr="00446F13" w:rsidRDefault="00446F13" w:rsidP="00446F13">
      <w:pPr>
        <w:spacing w:line="240" w:lineRule="auto"/>
        <w:rPr>
          <w:rFonts w:ascii="Times New Roman" w:eastAsia="Times New Roman" w:hAnsi="Times New Roman" w:cs="Times New Roman"/>
          <w:b/>
          <w:sz w:val="20"/>
          <w:szCs w:val="20"/>
        </w:rPr>
      </w:pPr>
      <w:r w:rsidRPr="00446F13">
        <w:rPr>
          <w:rFonts w:ascii="Times New Roman" w:eastAsia="Times New Roman" w:hAnsi="Times New Roman" w:cs="Times New Roman"/>
          <w:b/>
          <w:sz w:val="20"/>
          <w:szCs w:val="20"/>
        </w:rPr>
        <w:t>Kajian Lepas</w:t>
      </w:r>
    </w:p>
    <w:p w:rsidR="00446F13" w:rsidRPr="00446F13" w:rsidRDefault="00446F13" w:rsidP="00446F13">
      <w:pPr>
        <w:spacing w:line="240" w:lineRule="auto"/>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Kajian yang dilakukan oleh Abd. Rahim dan Kahal (2017) mengungkapkan kesan mendalam kolonialisme terhadap proses Islamisasi di Alam Melayu. Mereka menyoroti bagaimana ilmu kolonialisme memainkan peranan penting dalam mentransformasi landskap pemikiran dan pendidikan di rantau ini. Kolonialisme tidak hanya mempengaruhi struktur politik dan ekonomi, tetapi juga membawa implikasi besar terhadap aspek budaya tempatan. Di samping itu, kajian ini menunjukkan bagaimana agama Islam dipromosikan dan diterima sebagai sistem yang diiktiraf di bawah pengaruh kolonial. Hal ini memberikan gambaran tentang bagaimana perubahan sosial dan intelektual di Alam Melayu berkembang seiring dengan masuknya pengaruh kolonialisme, mengubah secara berkesan landskap kebudayaan dan agama di dalamnya. Kajian yang dilakukan oleh Asyari dan Dewi (2021) memberikan penekanan terhadap peranan penting pendidikan kewarganegaraan dalam memupuk jiwa nasionalisme di kalangan generasi milenial pada era globalisasi. Mereka menggarisbawahi bahawa pendidikan kewarganegaraan tidak hanya berfungsi sebagai alat untuk mengajar aspek-aspek dasar mengenai negara dan sistem politik, tetapi juga sebagai medium yang strategik dalam membentuk kesedaran terhadap nilai-nilai kebangsaan. Melalui sekolah, generasi milenial diberi peluang untuk memahami pentingnya integrasi sosial dan pembangunan identiti kebangsaan yang kuat. Kajian ini menunjukkan bagaimana pendidikan kewarganegaraan mampu menyumbang kepada perkembangan sikap dan komitmen terhadap negara dalam menghadapi cabaran globalisasi yang semakin kompleks.</w:t>
      </w:r>
    </w:p>
    <w:p w:rsidR="00446F13" w:rsidRPr="00446F13" w:rsidRDefault="00446F13" w:rsidP="00446F13">
      <w:pPr>
        <w:spacing w:line="240" w:lineRule="auto"/>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ab/>
        <w:t xml:space="preserve">Kajian yang diusulkan oleh Hidayat (2020) tentang pengembangan kurikulum sejarah kebudayaan Islam dengan Pendekatan Total History menyoroti keperluan untuk memahami sejarah Islam secara komprehensif dan holistik. Pendekatan ini tidak hanya menekankan pentingnya mempelajari peristiwa sejarah, tetapi juga memperluas cakupannya untuk merangkum aspek-aspek kebudayaan Islam dalam konteks kontemporer. Hidayat menggarisbawahi </w:t>
      </w:r>
      <w:r w:rsidRPr="00446F13">
        <w:rPr>
          <w:rFonts w:ascii="Times New Roman" w:eastAsia="Times New Roman" w:hAnsi="Times New Roman" w:cs="Times New Roman"/>
          <w:sz w:val="20"/>
          <w:szCs w:val="20"/>
        </w:rPr>
        <w:lastRenderedPageBreak/>
        <w:t>urgensi dari pendekatan ini dalam konteks pendidikan modern yang menghargai relevansi nilai-nilai kebudayaan Islam dalam membentuk pemahaman yang mendalam tentang sejarah dan kearifan lokal. Dengan menerapkan Pendekatan Total History, kurikulum diharapkan dapat mengaktualisasikan warisan kebudayaan Islam secara menyeluruh, memperkaya pengalaman pendidikan, dan membangun pemahaman yang lebih mendalam serta inklusif terhadap peradaban Islam. Kajian yang dilakukan oleh Kaspin et al. (2022) mengenai pemahaman konsep Bangsa Malaysia di kalangan pelajar menekankan pentingnya dalam memahami dan mendefinisikan identitas nasional yang inklusif. Mereka menyelidik bagaimana pemahaman ini mempengaruhi proses pembentukan negara dan bangsa Malaysia secara keseluruhan. Kajian ini menggarisbawahi perlunya mengatasi perbezaan etnik dan budaya untuk memperkukuhkan solidariti serta integrasi sosial di Malaysia. Melalui penelitian mereka, Kaspin et al. (2022) memberikan pandangan yang penting dalam merangkumi perspektif pelajar terhadap konsep Bangsa Malaysia, yang dapat membantu dalam memperkukuhkan identiti kebangsaan yang bersama-sama dan harmoni di negara ini.</w:t>
      </w:r>
    </w:p>
    <w:p w:rsidR="00446F13" w:rsidRPr="00446F13" w:rsidRDefault="00446F13" w:rsidP="00446F13">
      <w:pPr>
        <w:spacing w:line="240" w:lineRule="auto"/>
        <w:ind w:firstLine="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Kajian yang dilakukan oleh Kaviza (2019) mengenai penguasaan kemahiran pemikiran sejarah dan gaya pembelajaran murid Tingkatan Dua memfokuskan perbandingan antara beberapa pendekatan pembelajaran dalam menggalakkan kemahiran berfikir kritis dan analitikal di kalangan pelajar. Kajian ini penting kerana menekankan betapa pentingnya pembelajaran sejarah dalam merangsang keupayaan pelajar untuk berfikir secara mendalam tentang peristiwa-peristiwa sejarah dan implikasinya terhadap masyarakat. Melalui penelitian ini, Kaviza (2019) memberikan wawasan tentang keberkesanan berbagai gaya pembelajaran dalam meningkatkan penguasaan kemahiran pemikiran sejarah di kalangan pelajar tingkatan dua, yang merupakan asas penting dalam membangun keupayaan kognitif mereka dalam memahami sejarah secara menyeluruh. Kajian yang dilakukan oleh Sugiarta et al. (2019) mengenai pengaruh filsafat pendidikan Ki Hajar Dewantara dalam sistem pendidikan di Indonesia menyoroti prinsip-prinsip penting yang ditanamkan oleh tokoh tersebut. Ki Hajar Dewantara memandang pendidikan bukan sekadar sebagai proses pengajaran, tetapi sebagai sarana untuk membebaskan dan memberdayakan masyarakat. Fokus utamanya adalah menghormati dan mempromosikan nilai-nilai budaya lokal sebagai landasan untuk membangun pendidikan yang relevan dan bermakna bagi generasi muda. Penelitian ini penting karena menggarisbawahi bagaimana pemikiran Ki Hajar Dewantara terus mempengaruhi struktur dan pendekatan pendidikan di Indonesia hingga saat ini. Nilai-nilai seperti keadilan sosial, kesetaraan, dan penghargaan terhadap keberagaman budaya menjadi inti dari filsafat pendidikannya, yang berperan penting dalam membentuk identitas dan karakter pendidikan nasional Indonesia. Melalui kajian ini, Sugiarta et al. (2019) memberikan kontribusi yang berharga dalam memahami bagaimana filosofi Ki Hajar Dewantara dapat diterapkan secara kontekstual dalam pembangunan pendidikan modern di Indonesia.</w:t>
      </w:r>
    </w:p>
    <w:p w:rsidR="00446F13" w:rsidRPr="00446F13" w:rsidRDefault="00446F13" w:rsidP="00446F13">
      <w:pPr>
        <w:spacing w:line="240" w:lineRule="auto"/>
        <w:jc w:val="both"/>
        <w:rPr>
          <w:rFonts w:ascii="Times New Roman" w:eastAsia="Times New Roman" w:hAnsi="Times New Roman" w:cs="Times New Roman"/>
          <w:sz w:val="20"/>
          <w:szCs w:val="20"/>
        </w:rPr>
      </w:pPr>
    </w:p>
    <w:p w:rsidR="00446F13" w:rsidRPr="00446F13" w:rsidRDefault="00446F13" w:rsidP="00446F13">
      <w:pPr>
        <w:spacing w:line="240" w:lineRule="auto"/>
        <w:jc w:val="center"/>
        <w:rPr>
          <w:rFonts w:ascii="Times New Roman" w:eastAsia="Times New Roman" w:hAnsi="Times New Roman" w:cs="Times New Roman"/>
          <w:b/>
          <w:sz w:val="20"/>
          <w:szCs w:val="20"/>
        </w:rPr>
      </w:pPr>
      <w:r w:rsidRPr="00446F13">
        <w:rPr>
          <w:rFonts w:ascii="Times New Roman" w:eastAsia="Times New Roman" w:hAnsi="Times New Roman" w:cs="Times New Roman"/>
          <w:b/>
          <w:sz w:val="20"/>
          <w:szCs w:val="20"/>
        </w:rPr>
        <w:t>KESIMPULAN</w:t>
      </w:r>
    </w:p>
    <w:p w:rsidR="00446F13" w:rsidRPr="00446F13" w:rsidRDefault="00446F13" w:rsidP="00446F13">
      <w:pPr>
        <w:spacing w:line="240" w:lineRule="auto"/>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Sepanjang esei ini, kami telah menjelaskan bagaimana peristiwa sejarah, tradisi budaya dan rangka kerja pendidikan saling berkait untuk membentuk etos kebangsaan generasi muda Malaysia. Warisan budaya Malaysia yang kaya dan pelbagai berfungsi sebagai landasan di mana identiti nasionalnya dibina, dengan naratif sejarah bertindak sebagai lensa yang melaluinya rakyat Malaysia mentafsir masa lalu kolektif mereka. Tambahan pula, pemeriksaan terhadap cabaran seperti ketegangan etnik dan globalisasi menggariskan kerumitan yang terlibat dalam membentuk etos nasional yang padu di tengah-tengah transformasi masyarakat. Akhir sekali, penekanan untuk mendengar suara anak muda Malaysia melalui temu bual dan tinjauan menggariskan kepentingan memahami perspektif dan aspirasi mereka dalam membentuk identiti nasional. Wawasan yang diperoleh daripada penerokaan kami membawa implikasi yang signifikan terhadap dasar dan amalan di Malaysia. Penggubal dasar digesa untuk mengutamakan inisiatif yang bertujuan untuk memupuk dialog antara budaya dan perdamaian untuk mengurangkan ketegangan etnik dan agama, dengan itu memupuk etos nasional yang lebih inklusif. Di samping itu, semakan semula kurikulum sejarah dalam institusi pendidikan adalah penting untuk memastikan perwakilan holistik warisan Malaysia yang pelbagai, mengiktiraf sumbangan semua masyarakat. Tambahan pula, usaha untuk memperkasakan anak muda Malaysia melalui platform yang menguatkan suara mereka adalah penting untuk memupuk penglibatan sivik yang aktif dan membentuk hala tuju masa depan negara (Sivik et al., 2022). Memandang ke hadapan, usaha penyelidikan masa depan harus menyelidiki dengan lebih mendalam untuk memahami perspektif dan pengalaman anak muda Malaysia, khususnya berkaitan rasa identiti dan aspirasi kebangsaan mereka yang semakin berkembang. Kajian membujur yang menjejaki perubahan sikap dan kepercayaan dari semasa ke semasa boleh memberikan pandangan yang tidak ternilai tentang sifat dinamik etos kebangsaan Malaysia. Penyelidikan perbandingan merentasi pelbagai konteks sosiobudaya akan menawarkan pengajaran berharga untuk Malaysia dan masyarakat pelbagai budaya lain yang bergelut dengan cabaran yang sama. Lebih-lebih lagi, penyelidikan antara disiplin yang merapatkan bidang seperti sejarah, sosiologi, psikologi, dan pendidikan akan memperkayakan pemahaman kita tentang proses pelbagai rupa yang mendasari </w:t>
      </w:r>
      <w:r w:rsidRPr="00446F13">
        <w:rPr>
          <w:rFonts w:ascii="Times New Roman" w:eastAsia="Times New Roman" w:hAnsi="Times New Roman" w:cs="Times New Roman"/>
          <w:sz w:val="20"/>
          <w:szCs w:val="20"/>
        </w:rPr>
        <w:lastRenderedPageBreak/>
        <w:t>pembentukan identiti nasional dalam kalangan belia Malaysia (Sivik et al., 2022). Dengan memulakan saluran siasatan ini, Malaysia boleh melakarkan laluan ke arah memupuk etos nasional yang lebih inklusif dan berdaya tahan yang meraikan kepelbagaian dan menggalakkan perpaduan dalam dunia yang semakin global.</w:t>
      </w:r>
    </w:p>
    <w:p w:rsidR="00446F13" w:rsidRPr="00446F13" w:rsidRDefault="00446F13" w:rsidP="00446F13">
      <w:pPr>
        <w:spacing w:line="240" w:lineRule="auto"/>
        <w:jc w:val="both"/>
        <w:rPr>
          <w:rFonts w:ascii="Times New Roman" w:eastAsia="Times New Roman" w:hAnsi="Times New Roman" w:cs="Times New Roman"/>
          <w:sz w:val="20"/>
          <w:szCs w:val="20"/>
        </w:rPr>
      </w:pPr>
    </w:p>
    <w:p w:rsidR="00446F13" w:rsidRPr="00446F13" w:rsidRDefault="00446F13" w:rsidP="00446F13">
      <w:pPr>
        <w:spacing w:line="240" w:lineRule="auto"/>
        <w:jc w:val="center"/>
        <w:rPr>
          <w:rFonts w:ascii="Times New Roman" w:eastAsia="Times New Roman" w:hAnsi="Times New Roman" w:cs="Times New Roman"/>
          <w:b/>
          <w:sz w:val="20"/>
          <w:szCs w:val="20"/>
        </w:rPr>
      </w:pPr>
      <w:r w:rsidRPr="00446F13">
        <w:rPr>
          <w:rFonts w:ascii="Times New Roman" w:eastAsia="Times New Roman" w:hAnsi="Times New Roman" w:cs="Times New Roman"/>
          <w:b/>
          <w:sz w:val="20"/>
          <w:szCs w:val="20"/>
        </w:rPr>
        <w:t>RUJUKAN</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Abd. Rahim, R. A., &amp; Binti Kahal, S. M. (2017). Ilmu Kolonial Dan Islamisasi Alam Melayu: Analisis Kritikal. Sejarah, 26(1), 33–49. </w:t>
      </w:r>
      <w:hyperlink r:id="rId9">
        <w:r w:rsidRPr="00446F13">
          <w:rPr>
            <w:rFonts w:ascii="Times New Roman" w:eastAsia="Times New Roman" w:hAnsi="Times New Roman" w:cs="Times New Roman"/>
            <w:color w:val="0563C1"/>
            <w:sz w:val="20"/>
            <w:szCs w:val="20"/>
            <w:u w:val="single"/>
          </w:rPr>
          <w:t>https://doi.org/10.22452/sejarah.vol26no1.3</w:t>
        </w:r>
      </w:hyperlink>
      <w:r w:rsidRPr="00446F13">
        <w:rPr>
          <w:rFonts w:ascii="Times New Roman" w:eastAsia="Times New Roman" w:hAnsi="Times New Roman" w:cs="Times New Roman"/>
          <w:sz w:val="20"/>
          <w:szCs w:val="20"/>
        </w:rPr>
        <w:t xml:space="preserve"> </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Arta, K. S. (2019). Pelatihan Penulisan Artikel Untuk Publikasi Di Jurnal Ilmiah Untuk Meningkatkan Profesionalisme Bagi Guru-Guru Di Kecamatan Kubutambahan Kabupaten Buleleng. Acarya Pustaka, 5(2), 17. </w:t>
      </w:r>
      <w:hyperlink r:id="rId10">
        <w:r w:rsidRPr="00446F13">
          <w:rPr>
            <w:rFonts w:ascii="Times New Roman" w:eastAsia="Times New Roman" w:hAnsi="Times New Roman" w:cs="Times New Roman"/>
            <w:color w:val="0563C1"/>
            <w:sz w:val="20"/>
            <w:szCs w:val="20"/>
            <w:u w:val="single"/>
          </w:rPr>
          <w:t>https://doi.org/10.23887/ap.v5i2.17412</w:t>
        </w:r>
      </w:hyperlink>
      <w:r w:rsidRPr="00446F13">
        <w:rPr>
          <w:rFonts w:ascii="Times New Roman" w:eastAsia="Times New Roman" w:hAnsi="Times New Roman" w:cs="Times New Roman"/>
          <w:sz w:val="20"/>
          <w:szCs w:val="20"/>
        </w:rPr>
        <w:t xml:space="preserve"> </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Asyari, D., &amp; Dewi, D. A. (2021). Peran Pendidikan Kewarganegaraan bagi Generasi Milenial dalam Menanamkan Jiwa Nasionalisme Di Era Globalisasi. Jurnal Pendidikan Dan Konseling (JPDK), 3(2), 30–41. </w:t>
      </w:r>
      <w:hyperlink r:id="rId11">
        <w:r w:rsidRPr="00446F13">
          <w:rPr>
            <w:rFonts w:ascii="Times New Roman" w:eastAsia="Times New Roman" w:hAnsi="Times New Roman" w:cs="Times New Roman"/>
            <w:color w:val="0563C1"/>
            <w:sz w:val="20"/>
            <w:szCs w:val="20"/>
            <w:u w:val="single"/>
          </w:rPr>
          <w:t>https://doi.org/10.31004/jpdk.v3i2.1628</w:t>
        </w:r>
      </w:hyperlink>
      <w:r w:rsidRPr="00446F13">
        <w:rPr>
          <w:rFonts w:ascii="Times New Roman" w:eastAsia="Times New Roman" w:hAnsi="Times New Roman" w:cs="Times New Roman"/>
          <w:sz w:val="20"/>
          <w:szCs w:val="20"/>
        </w:rPr>
        <w:t xml:space="preserve"> </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Hidayat, F. (2020). Pengembangan Kurikulum Sejarah Kebudayaan Islam dengan Pendekatan Total History: Urgensi, Relevansi, dan Aktualisasi. CV Jejak (Jejak Publisher).</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Kaspin, K. G., Jamal, M. B., Mohd Nor, N. M., Marzuki, M., &amp; Ibrahim, M. H. (2022). Understanding The Concept Bangsa Malaysia Among Students: A Study Towards The Formation &amp; Nation State Building Course. International Journal of Education, Psychology and Counseling, 7(45), 45–59. </w:t>
      </w:r>
      <w:hyperlink r:id="rId12">
        <w:r w:rsidRPr="00446F13">
          <w:rPr>
            <w:rFonts w:ascii="Times New Roman" w:eastAsia="Times New Roman" w:hAnsi="Times New Roman" w:cs="Times New Roman"/>
            <w:color w:val="0563C1"/>
            <w:sz w:val="20"/>
            <w:szCs w:val="20"/>
            <w:u w:val="single"/>
          </w:rPr>
          <w:t>https://doi.org/10.35631/ijepc.745004</w:t>
        </w:r>
      </w:hyperlink>
      <w:r w:rsidRPr="00446F13">
        <w:rPr>
          <w:rFonts w:ascii="Times New Roman" w:eastAsia="Times New Roman" w:hAnsi="Times New Roman" w:cs="Times New Roman"/>
          <w:sz w:val="20"/>
          <w:szCs w:val="20"/>
        </w:rPr>
        <w:t xml:space="preserve"> </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Kaviza, M. (2019). Penguasaan Kemahiran Pemikiran Sejarah Dan Gaya Pembelajaran Murid Tingkatan Dua: Satu Kajian Perbandingan. E-Bangi, 16(4).</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Miftakhuddin. (2019). Kolonialisme: Eksploitasi dan Pembangunan Menuju Hegemoni. CV Jejak (Jejak Publisher).</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Sivik, N., Etnik, B., Tadbir, I., Kerajaan, U., Etos, T., Di, B., Kebangsaan, S., Bin Omar, A., Hamzah, S., &amp; Kee, C. (2022). under a Creative Commons Attribution 4.0 International License (CC BY). (The Impact of Civic Values, Ethnic Boundaries and State Governance on National Ethos in Primary Schools) Corresponding Author (*). Malaysian Journal of Social Sciences and Humanities, 7(6), 1559. </w:t>
      </w:r>
      <w:hyperlink r:id="rId13">
        <w:r w:rsidRPr="00446F13">
          <w:rPr>
            <w:rFonts w:ascii="Times New Roman" w:eastAsia="Times New Roman" w:hAnsi="Times New Roman" w:cs="Times New Roman"/>
            <w:color w:val="0563C1"/>
            <w:sz w:val="20"/>
            <w:szCs w:val="20"/>
            <w:u w:val="single"/>
          </w:rPr>
          <w:t>https://doi.org/10.47405/mjssh.v7i6.1559</w:t>
        </w:r>
      </w:hyperlink>
      <w:r w:rsidRPr="00446F13">
        <w:rPr>
          <w:rFonts w:ascii="Times New Roman" w:eastAsia="Times New Roman" w:hAnsi="Times New Roman" w:cs="Times New Roman"/>
          <w:sz w:val="20"/>
          <w:szCs w:val="20"/>
        </w:rPr>
        <w:t xml:space="preserve"> </w:t>
      </w:r>
    </w:p>
    <w:p w:rsidR="00446F13" w:rsidRPr="00446F13" w:rsidRDefault="00446F13" w:rsidP="00446F13">
      <w:pPr>
        <w:spacing w:line="240" w:lineRule="auto"/>
        <w:ind w:left="720" w:hanging="720"/>
        <w:jc w:val="both"/>
        <w:rPr>
          <w:rFonts w:ascii="Times New Roman" w:eastAsia="Times New Roman" w:hAnsi="Times New Roman" w:cs="Times New Roman"/>
          <w:sz w:val="20"/>
          <w:szCs w:val="20"/>
        </w:rPr>
      </w:pPr>
      <w:r w:rsidRPr="00446F13">
        <w:rPr>
          <w:rFonts w:ascii="Times New Roman" w:eastAsia="Times New Roman" w:hAnsi="Times New Roman" w:cs="Times New Roman"/>
          <w:sz w:val="20"/>
          <w:szCs w:val="20"/>
        </w:rPr>
        <w:t xml:space="preserve">Sugiarta, I. M., Mardana, I. B. P., Adiarta, A., &amp; Artanayasa, W. (2019). FILSAFAT PENDIDIKAN KI HAJAR DEWANTARA (TOKOH TIMUR). Jurnal Filsafat Indonesia, 2(3), 124. </w:t>
      </w:r>
      <w:hyperlink r:id="rId14">
        <w:r w:rsidRPr="00446F13">
          <w:rPr>
            <w:rFonts w:ascii="Times New Roman" w:eastAsia="Times New Roman" w:hAnsi="Times New Roman" w:cs="Times New Roman"/>
            <w:color w:val="0563C1"/>
            <w:sz w:val="20"/>
            <w:szCs w:val="20"/>
            <w:u w:val="single"/>
          </w:rPr>
          <w:t>https://doi.org/10.23887/jfi.v2i3.22187</w:t>
        </w:r>
      </w:hyperlink>
      <w:r w:rsidRPr="00446F13">
        <w:rPr>
          <w:rFonts w:ascii="Times New Roman" w:eastAsia="Times New Roman" w:hAnsi="Times New Roman" w:cs="Times New Roman"/>
          <w:sz w:val="20"/>
          <w:szCs w:val="20"/>
        </w:rPr>
        <w:t xml:space="preserve"> </w:t>
      </w:r>
    </w:p>
    <w:p w:rsidR="00495757" w:rsidRPr="00446F13" w:rsidRDefault="00446F13" w:rsidP="00446F13">
      <w:pPr>
        <w:spacing w:after="60" w:line="240" w:lineRule="auto"/>
        <w:ind w:firstLine="720"/>
        <w:jc w:val="both"/>
        <w:rPr>
          <w:rFonts w:ascii="Times New Roman" w:hAnsi="Times New Roman" w:cs="Times New Roman"/>
          <w:sz w:val="20"/>
          <w:szCs w:val="20"/>
        </w:rPr>
      </w:pPr>
      <w:r w:rsidRPr="00446F13">
        <w:rPr>
          <w:rFonts w:ascii="Times New Roman" w:eastAsia="Times New Roman" w:hAnsi="Times New Roman" w:cs="Times New Roman"/>
          <w:sz w:val="20"/>
          <w:szCs w:val="20"/>
        </w:rPr>
        <w:t>Zamil, A., Muhamad Amar Mahmad, Khairiah Mohd Yassin, Azman Md Zain, Solahudin Abd Hamid, Mohd., Ishak, I., Adon, I., Ahmad, M., &amp; Mohamed, Z. (2021). Penghayatan Etika dan Peradaban (UUM Press). UUM Press.</w:t>
      </w:r>
    </w:p>
    <w:sectPr w:rsidR="00495757" w:rsidRPr="00446F13" w:rsidSect="00D67E9D">
      <w:footerReference w:type="default" r:id="rId15"/>
      <w:headerReference w:type="first" r:id="rId16"/>
      <w:footerReference w:type="first" r:id="rId17"/>
      <w:pgSz w:w="12240" w:h="15840"/>
      <w:pgMar w:top="1440" w:right="1440" w:bottom="1440" w:left="1440" w:header="720" w:footer="720" w:gutter="0"/>
      <w:pgNumType w:start="66"/>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E6" w:rsidRDefault="001077E6">
      <w:pPr>
        <w:spacing w:after="0" w:line="240" w:lineRule="auto"/>
      </w:pPr>
      <w:r>
        <w:separator/>
      </w:r>
    </w:p>
  </w:endnote>
  <w:endnote w:type="continuationSeparator" w:id="0">
    <w:p w:rsidR="001077E6" w:rsidRDefault="0010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15BB3">
      <w:rPr>
        <w:rFonts w:ascii="Times New Roman" w:eastAsia="Times New Roman" w:hAnsi="Times New Roman" w:cs="Times New Roman"/>
        <w:noProof/>
        <w:color w:val="000000"/>
        <w:sz w:val="20"/>
        <w:szCs w:val="20"/>
      </w:rPr>
      <w:t>71</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444307"/>
      <w:docPartObj>
        <w:docPartGallery w:val="Page Numbers (Bottom of Page)"/>
        <w:docPartUnique/>
      </w:docPartObj>
    </w:sdtPr>
    <w:sdtEndPr>
      <w:rPr>
        <w:noProof/>
      </w:rPr>
    </w:sdtEndPr>
    <w:sdtContent>
      <w:p w:rsidR="00D67E9D" w:rsidRDefault="00D67E9D">
        <w:pPr>
          <w:pStyle w:val="Footer"/>
          <w:jc w:val="center"/>
        </w:pPr>
        <w:r>
          <w:fldChar w:fldCharType="begin"/>
        </w:r>
        <w:r>
          <w:instrText xml:space="preserve"> PAGE   \* MERGEFORMAT </w:instrText>
        </w:r>
        <w:r>
          <w:fldChar w:fldCharType="separate"/>
        </w:r>
        <w:r>
          <w:rPr>
            <w:noProof/>
          </w:rPr>
          <w:t>66</w:t>
        </w:r>
        <w:r>
          <w:rPr>
            <w:noProof/>
          </w:rPr>
          <w:fldChar w:fldCharType="end"/>
        </w:r>
      </w:p>
    </w:sdtContent>
  </w:sdt>
  <w:p w:rsidR="00D67E9D" w:rsidRDefault="00D67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E6" w:rsidRDefault="001077E6">
      <w:pPr>
        <w:spacing w:after="0" w:line="240" w:lineRule="auto"/>
      </w:pPr>
      <w:r>
        <w:separator/>
      </w:r>
    </w:p>
  </w:footnote>
  <w:footnote w:type="continuationSeparator" w:id="0">
    <w:p w:rsidR="001077E6" w:rsidRDefault="00107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34D"/>
    <w:multiLevelType w:val="multilevel"/>
    <w:tmpl w:val="62ACD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343FD"/>
    <w:multiLevelType w:val="multilevel"/>
    <w:tmpl w:val="F622F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D1F5C"/>
    <w:rsid w:val="001077E6"/>
    <w:rsid w:val="00146DBF"/>
    <w:rsid w:val="001D40E2"/>
    <w:rsid w:val="001E698F"/>
    <w:rsid w:val="00234A8C"/>
    <w:rsid w:val="00257607"/>
    <w:rsid w:val="002A04BB"/>
    <w:rsid w:val="003263A9"/>
    <w:rsid w:val="00354D4A"/>
    <w:rsid w:val="00446F13"/>
    <w:rsid w:val="00495757"/>
    <w:rsid w:val="004C5AF2"/>
    <w:rsid w:val="004F6A97"/>
    <w:rsid w:val="00515BB3"/>
    <w:rsid w:val="00565BBC"/>
    <w:rsid w:val="005739C9"/>
    <w:rsid w:val="00592CAE"/>
    <w:rsid w:val="005C3B4D"/>
    <w:rsid w:val="005C74A8"/>
    <w:rsid w:val="006F5C8D"/>
    <w:rsid w:val="007070AB"/>
    <w:rsid w:val="00776E0D"/>
    <w:rsid w:val="007C2190"/>
    <w:rsid w:val="00844BEF"/>
    <w:rsid w:val="00847052"/>
    <w:rsid w:val="008D702B"/>
    <w:rsid w:val="008E5101"/>
    <w:rsid w:val="00A86965"/>
    <w:rsid w:val="00AE2E37"/>
    <w:rsid w:val="00B62C04"/>
    <w:rsid w:val="00CD18A1"/>
    <w:rsid w:val="00D16E7D"/>
    <w:rsid w:val="00D42051"/>
    <w:rsid w:val="00D67E9D"/>
    <w:rsid w:val="00DD62FE"/>
    <w:rsid w:val="00DD6CEA"/>
    <w:rsid w:val="00E750DC"/>
    <w:rsid w:val="00E81D0B"/>
    <w:rsid w:val="00E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088F"/>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F6A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46D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7405/mjssh.v7i6.155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5631/ijepc.74500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004/jpdk.v3i2.162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23887/ap.v5i2.1741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22452/sejarah.vol26no1.3" TargetMode="External"/><Relationship Id="rId14" Type="http://schemas.openxmlformats.org/officeDocument/2006/relationships/hyperlink" Target="https://doi.org/10.23887/jfi.v2i3.221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82218E-7ED1-4126-B9CA-21F4D586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2024-12-05T03:22:00Z</dcterms:created>
  <dcterms:modified xsi:type="dcterms:W3CDTF">2024-12-10T07:16:00Z</dcterms:modified>
</cp:coreProperties>
</file>